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Красноярскому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3"/>
        </w:rPr>
        <w:t>пр. Мира, 81 д, г. Красноярск, 660017</w:t>
        <w:br/>
        <w:t>тел. (391) 211-00-00, факс (391) 211-01-14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3"/>
          <w:lang w:val="en-US" w:eastAsia="en-US"/>
        </w:rPr>
        <w:t>to24@fas.gov.ru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ИП Мельничкин Е.В.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ул. Рабочая, д. 59, кв. 4, г. Петухово, Курганская обл., 641641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1"/>
          <w:lang w:val="en-US" w:eastAsia="en-US"/>
        </w:rPr>
        <w:t>evgenymelnichkin@tutamail.com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1127" w:bottom="1154" w:left="1452" w:header="0" w:footer="3" w:gutter="0"/>
          <w:pgNumType w:start="1"/>
          <w:cols w:num="2" w:space="1834"/>
          <w:noEndnote/>
          <w:titlePg/>
          <w:rtlGutter w:val="0"/>
          <w:docGrid w:linePitch="360"/>
        </w:sectPr>
      </w:pPr>
      <w:r>
        <w:rPr>
          <w:rStyle w:val="CharStyle11"/>
        </w:rPr>
        <w:t xml:space="preserve">Администрация Идринского р-на Красноярского края ул. Мира, д. </w:t>
      </w:r>
      <w:r>
        <w:rPr>
          <w:rStyle w:val="CharStyle11"/>
          <w:lang w:val="en-US" w:eastAsia="en-US"/>
        </w:rPr>
        <w:t xml:space="preserve">16, </w:t>
      </w:r>
      <w:r>
        <w:rPr>
          <w:rStyle w:val="CharStyle11"/>
        </w:rPr>
        <w:t xml:space="preserve">с. Идринское, Идринский р-н., Красноярский край, </w:t>
      </w:r>
      <w:r>
        <w:rPr>
          <w:rStyle w:val="CharStyle11"/>
          <w:lang w:val="en-US" w:eastAsia="en-US"/>
        </w:rPr>
        <w:t xml:space="preserve">662680 </w:t>
      </w:r>
      <w:r>
        <w:fldChar w:fldCharType="begin"/>
      </w:r>
      <w:r>
        <w:rPr/>
        <w:instrText> HYPERLINK "mailto:zakupki_mcb@mail.ru" </w:instrText>
      </w:r>
      <w:r>
        <w:fldChar w:fldCharType="separate"/>
      </w:r>
      <w:r>
        <w:rPr>
          <w:rStyle w:val="CharStyle11"/>
          <w:lang w:val="en-US" w:eastAsia="en-US"/>
        </w:rPr>
        <w:t>zakupki_mcb@mail.ru</w:t>
      </w:r>
      <w:r>
        <w:fldChar w:fldCharType="end"/>
      </w:r>
    </w:p>
    <w:p>
      <w:pPr>
        <w:widowControl w:val="0"/>
        <w:spacing w:line="32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2" w:right="0" w:bottom="119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311150" cy="1435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.pt;width:24.5pt;height:11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960" w:right="0" w:hanging="720"/>
        <w:jc w:val="left"/>
      </w:pPr>
      <w:r>
        <w:rPr>
          <w:rStyle w:val="CharStyle11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1"/>
          <w:lang w:val="en-US" w:eastAsia="en-US"/>
        </w:rPr>
        <w:t>ko@roseltorg.ru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1"/>
        </w:rPr>
        <w:t>Решение № 024/06/106-2561/2025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6237605</wp:posOffset>
                </wp:positionH>
                <wp:positionV relativeFrom="paragraph">
                  <wp:posOffset>12700</wp:posOffset>
                </wp:positionV>
                <wp:extent cx="908050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1.15000000000003pt;margin-top:1.pt;width:71.5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05 сентября 2025 г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291" w:val="left"/>
          <w:tab w:pos="4771" w:val="left"/>
          <w:tab w:pos="7987" w:val="left"/>
          <w:tab w:pos="938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Комиссия Красноярского УФАС России по контролю в сфере закупок в составе: Председатель Комиссии – Дударева М.А., заместитель руководителя; члены Комиссии: Грицай М.А., начальник отдела; Мулагалеев А.Р., старший государственный инспектор (далее – Комиссия), рассмотрев жалобу ИП Мельничкина Е.В. (далее – Податель жалобы) на действия заказчика — Администрации Идринского района Красноярского края (далее — Заказчик) при формировании извещения для проведения открытого конкурса в электронной форме на «Капитальный ремонт водонапорной башни в с. Большой Телек Идринского района», №</w:t>
        <w:tab/>
        <w:t>0319300170725000024 ;</w:t>
        <w:tab/>
        <w:t>идентификационный</w:t>
        <w:tab/>
        <w:t>код</w:t>
        <w:tab/>
        <w:t>закупки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253241400062624140100100200024322243, закупка осуществляется на электронной торговой площадки АО «ЕЭТП» (далее – Оператор ЭП),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Существо жалобы: нарушение Заказчиком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 формировании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Жалоба подана в орган, обладающей компетенцией по рассмотрению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Подателем жалобы соблюдён срок для подачи жалобы, форма и способ подачи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При подготовке к заседанию Комиссии в адреса Подателя жалобы, Заказчика, Оператора ЭП направлено уведомление с информацией о месте и времени заседания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Уведомление также размещено на официальном сайте ЕИС, что считается надлежащим уведомлением о дате и времени заседания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Подателем жалобы указано на нарушение Заказчиком требований закона о контрактной системе при проведении закупки, а именно, извещение об осуществлении закупки не содержит электронный документ: «требования к содержанию и составу заявки»; в электронном документе: техническом задании Заказчиком также неправомерно установлено требование об обязательном членстве участника закупок в саморегулируемой организации (далее — СРО).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rStyle w:val="CharStyle11"/>
        </w:rPr>
        <w:t>Заказчиком представлены письменные пояснения, согласно которым требование об обязательном членстве участника закупок в СРО было установлено в техническом задании ошибочно, между тем указанное требование в извещении об осуществлении закупки,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4"/>
        </w:rPr>
        <w:t xml:space="preserve">IHIIIIII mini mi </w:t>
      </w:r>
      <w:r>
        <w:rPr>
          <w:rStyle w:val="CharStyle14"/>
          <w:lang w:val="ru-RU" w:eastAsia="ru-RU"/>
        </w:rPr>
        <w:t>ни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сформированном с использованием ЕИС отсутствует, Заказчиком также указано на необязательность включения в извещение электронного документа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требования к содержанию и составу заявки»; на отсутствие ограничения конкуренции, а именно, на участие в закупке было подано три заявки, признанных конкурсной комиссией соответствующими,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из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участников закупки не представили информации и документов, подтверждающих их членство в СРО. Кроме того, Заказчиком указано на недобросовестный характер деятельности Подателя жалобы, Податель жалобы не участвует и не желает участвовать в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Заказчиком до заседания Комиссии также было заявлено ходатайство о проведении заседания Комиссии с использованием видео-конференц связи, в удовлетворении ходатайства было отказано в связи с отсутствием у Комиссии технической возможности.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Заседание Комиссии состоялось </w:t>
      </w:r>
      <w:r>
        <w:rPr>
          <w:rStyle w:val="CharStyle11"/>
          <w:lang w:val="en-US" w:eastAsia="en-US"/>
        </w:rPr>
        <w:t xml:space="preserve">05 </w:t>
      </w:r>
      <w:r>
        <w:rPr>
          <w:rStyle w:val="CharStyle11"/>
        </w:rPr>
        <w:t xml:space="preserve">сентября </w:t>
      </w:r>
      <w:r>
        <w:rPr>
          <w:rStyle w:val="CharStyle11"/>
          <w:lang w:val="en-US" w:eastAsia="en-US"/>
        </w:rPr>
        <w:t xml:space="preserve">2025 </w:t>
      </w:r>
      <w:r>
        <w:rPr>
          <w:rStyle w:val="CharStyle11"/>
        </w:rPr>
        <w:t xml:space="preserve">г. в </w:t>
      </w:r>
      <w:r>
        <w:rPr>
          <w:rStyle w:val="CharStyle11"/>
          <w:lang w:val="en-US" w:eastAsia="en-US"/>
        </w:rPr>
        <w:t xml:space="preserve">09 </w:t>
      </w:r>
      <w:r>
        <w:rPr>
          <w:rStyle w:val="CharStyle11"/>
        </w:rPr>
        <w:t xml:space="preserve">часов </w:t>
      </w:r>
      <w:r>
        <w:rPr>
          <w:rStyle w:val="CharStyle11"/>
          <w:lang w:val="en-US" w:eastAsia="en-US"/>
        </w:rPr>
        <w:t xml:space="preserve">00 </w:t>
      </w:r>
      <w:r>
        <w:rPr>
          <w:rStyle w:val="CharStyle11"/>
        </w:rPr>
        <w:t xml:space="preserve">минут </w:t>
      </w:r>
      <w:r>
        <w:rPr>
          <w:rStyle w:val="CharStyle11"/>
          <w:lang w:val="en-US" w:eastAsia="en-US"/>
        </w:rPr>
        <w:t xml:space="preserve">(UTC + 7; </w:t>
      </w:r>
      <w:r>
        <w:rPr>
          <w:rStyle w:val="CharStyle11"/>
        </w:rPr>
        <w:t xml:space="preserve">МСК </w:t>
      </w:r>
      <w:r>
        <w:rPr>
          <w:rStyle w:val="CharStyle11"/>
          <w:lang w:val="en-US" w:eastAsia="en-US"/>
        </w:rPr>
        <w:t>+ 4).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Заседание Комиссии с состоялось в отсутствие представителей сторон.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Комиссия, руководствуясь статьёй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контрактной системе, также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Контрактная система в сфере закупок обеспечивается единой информационной системой в сфере закупок (ЕИС).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на официальном сайте ЕИС размещено извещение об осуществлении закупки, извещение о закупке содержит электронный документ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проект контракта, в техническом задании, являющемся приложением </w:t>
      </w:r>
      <w:r>
        <w:rPr>
          <w:rStyle w:val="CharStyle11"/>
          <w:lang w:val="en-US" w:eastAsia="en-US"/>
        </w:rPr>
        <w:t xml:space="preserve">№2 </w:t>
      </w:r>
      <w:r>
        <w:rPr>
          <w:rStyle w:val="CharStyle11"/>
        </w:rPr>
        <w:t xml:space="preserve">к проекту контракта установлено обязательное требование о наличие свидетельства, выданного СРО о допуске к видам работ, влияющим на безопасность объектов капитального строительства (согласно приказа министерства регионального развития РФ от </w:t>
      </w:r>
      <w:r>
        <w:rPr>
          <w:rStyle w:val="CharStyle11"/>
          <w:lang w:val="en-US" w:eastAsia="en-US"/>
        </w:rPr>
        <w:t xml:space="preserve">30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2009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>№ 624).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этом, извещение об осуществлении закупки, сформированное при помощи экранных форм веб-интерфейса ЕИС такое требование не содержит.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Начальная (максимальна) цена контракта составляет </w:t>
      </w:r>
      <w:r>
        <w:rPr>
          <w:rStyle w:val="CharStyle11"/>
          <w:lang w:val="en-US" w:eastAsia="en-US"/>
        </w:rPr>
        <w:t xml:space="preserve">4 987 385 </w:t>
      </w:r>
      <w:r>
        <w:rPr>
          <w:rStyle w:val="CharStyle11"/>
        </w:rPr>
        <w:t xml:space="preserve">(четыре миллиона девятьсот восемьдесят семь тысяч триста восемьдесят пять) рублей </w:t>
      </w:r>
      <w:r>
        <w:rPr>
          <w:rStyle w:val="CharStyle11"/>
          <w:lang w:val="en-US" w:eastAsia="en-US"/>
        </w:rPr>
        <w:t xml:space="preserve">00 </w:t>
      </w:r>
      <w:r>
        <w:rPr>
          <w:rStyle w:val="CharStyle11"/>
        </w:rPr>
        <w:t>копеек.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Извещение об осуществлении закупки не содержит электронный документ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требования к содержанию и составу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Согласно протоколу подведения итогов открытого электронного конкурса для участия в закупке было подано три заявки, все три заявки были признаны конкурсной комиссией соответствующими.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2.1.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51 </w:t>
      </w:r>
      <w:r>
        <w:rPr>
          <w:rStyle w:val="CharStyle11"/>
        </w:rPr>
        <w:t xml:space="preserve">ГрК РФ подрядчики вправе выполнять работы по капитальному ремонту объектов капитального строительства в рамках договоров, цена которых не превышает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>миллионов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Таким образом, Комиссией был сделан вывод о том, что Заказчик не вправе устанавливать обязательное требование к участникам закупки о членстве в СРО, так как начальная (максимальная) цена контракта не превышает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>миллионов рублей, соответственно и цена контракта также не может превысит указанную сумму.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неправомерно установлено соответствующее требование в электронном документе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проекте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Закона о контрактной системе Постановлением Правительства РФ от </w:t>
      </w:r>
      <w:r>
        <w:rPr>
          <w:rStyle w:val="CharStyle11"/>
          <w:lang w:val="en-US" w:eastAsia="en-US"/>
        </w:rPr>
        <w:t xml:space="preserve">27.01.2022 № 60 </w:t>
      </w:r>
      <w:r>
        <w:rPr>
          <w:rStyle w:val="CharStyle11"/>
        </w:rPr>
        <w:t xml:space="preserve">утверждено положение Положение о порядке формирования и размещения информации и документов в единой информационной системе в сфере закупок, о требованиях к их формам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Положение). Согласно пунктам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>Положения в ЕИС информация размещается как посредством заполнения экранных форм веб-интерфейса ЕИС, так и посредством размещения в ЕИС электронных документов, которые формируются без использования ЕИС. Между тем при наличии противоречий в вышеуказанной информации имеет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приоритет информация, сформированная посредством заполнения экранных форм веб-интерфейса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с учётом того обстоятельства, что веб-интерфейс ЕИС сформирован в соответствии с требования законодательства, а также наличия трёх заявок от участников закупок, отсутствия запросов разъяснений положений извещения, направленных участниками закупок, соглашается с доводами Заказчика об отсутствии ограничения конкуренции при проведении рассматриваемой закупки. Кроме того, Податель жалобы ранее уже обращался в Красноярское УФАС России с жалобами на действия Заказчика, однако в закупках с Заказчиком участие не принимал, Комиссия также не установила, что Податель жалобы когда-либо принимал участие в закупках для государственных и муниципальных нужд. Таким образом, Комиссия пришла к выводу об отсутствии необходимости в выдаче Заказчику предписания об устранении допущенного нарушения.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также не может согласиться с Заказчиком о диспозитивности нормы, регламентирующей включение в состав извещения электронного документа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требования к содержанию и составу заявки на участие в закупке. Указанный электронный документ должен был быть включён в извещение об осуществлении закупки в соответствии с 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Между тем, в силу ранее изложенных доводов, отсутствие электронного документа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>требования к содержанию и составу заявки не ограничило конкуренцию при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нарушены пункты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1"/>
          <w:lang w:val="en-US" w:eastAsia="en-US"/>
        </w:rPr>
        <w:t xml:space="preserve">3, 15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99, </w:t>
      </w: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 Комиссия Красноярского УФАС России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1"/>
        </w:rPr>
        <w:t>РЕШИЛА: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ИП Мельничкина Е.В. 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Предписание об устранении допущенных нарушений не выдавать.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350520" distL="114300" distR="114300" simplePos="0" relativeHeight="125829382" behindDoc="0" locked="0" layoutInCell="1" allowOverlap="1">
                <wp:simplePos x="0" y="0"/>
                <wp:positionH relativeFrom="page">
                  <wp:posOffset>6157595</wp:posOffset>
                </wp:positionH>
                <wp:positionV relativeFrom="paragraph">
                  <wp:posOffset>12700</wp:posOffset>
                </wp:positionV>
                <wp:extent cx="99060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4.85000000000002pt;margin-top:1.pt;width:78.pt;height:17.050000000000001pt;z-index:-125829371;mso-wrap-distance-left:9.pt;mso-wrap-distance-right:9.pt;mso-wrap-distance-bottom:27.6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245110" distR="117475" simplePos="0" relativeHeight="125829384" behindDoc="0" locked="0" layoutInCell="1" allowOverlap="1">
                <wp:simplePos x="0" y="0"/>
                <wp:positionH relativeFrom="page">
                  <wp:posOffset>6288405</wp:posOffset>
                </wp:positionH>
                <wp:positionV relativeFrom="paragraph">
                  <wp:posOffset>363220</wp:posOffset>
                </wp:positionV>
                <wp:extent cx="85661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15000000000003pt;margin-top:28.600000000000001pt;width:67.450000000000003pt;height:17.050000000000001pt;z-index:-125829369;mso-wrap-distance-left:19.300000000000001pt;mso-wrap-distance-top:27.600000000000001pt;mso-wrap-distance-right: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0" w:right="0" w:firstLine="0"/>
        <w:jc w:val="right"/>
      </w:pPr>
      <w:r>
        <w:rPr>
          <w:rStyle w:val="CharStyle11"/>
        </w:rPr>
        <w:t>А.Р. Мулагалеев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3"/>
          <w:color w:val="000000"/>
        </w:rPr>
        <w:t>Исп.Мулагалеев А.Р тел.8(391)2111830.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22" w:right="539" w:bottom="1196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9960610</wp:posOffset>
              </wp:positionV>
              <wp:extent cx="7346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2025-13145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784.30000000000007pt;width:57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2025-13145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46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2025-13145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2025-13145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709930</wp:posOffset>
              </wp:positionV>
              <wp:extent cx="67310" cy="73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9999999999999pt;margin-top:55.899999999999999pt;width:5.2999999999999998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9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