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0.09.2025</w:t>
        <w:tab/>
      </w:r>
      <w:r>
        <w:fldChar w:fldCharType="end"/>
      </w:r>
      <w:r>
        <w:rPr>
          <w:rStyle w:val="CharStyle10"/>
        </w:rPr>
        <w:t>№ 36268/25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«СОДЕЙСТВИЕ»</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"mailto:Sod2222@yandex.ru" </w:instrText>
      </w:r>
      <w:r>
        <w:fldChar w:fldCharType="separate"/>
      </w:r>
      <w:r>
        <w:rPr>
          <w:rStyle w:val="CharStyle12"/>
          <w:lang w:val="en-US" w:eastAsia="en-US"/>
        </w:rPr>
        <w:t>Sod2222@yandex.ru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ГБУ «Аварийно-эксплуатационная служба»</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"mailto:ZAEC@social.mos.ru" </w:instrText>
      </w:r>
      <w:r>
        <w:fldChar w:fldCharType="separate"/>
      </w:r>
      <w:r>
        <w:rPr>
          <w:rStyle w:val="CharStyle12"/>
          <w:lang w:val="en-US" w:eastAsia="en-US"/>
        </w:rPr>
        <w:t>ZAEC@social.mos.ru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АО «ЕЭТП»</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289" w:bottom="584" w:left="1293" w:header="0" w:footer="3" w:gutter="0"/>
          <w:pgNumType w:start="1"/>
          <w:cols w:num="2" w:space="720" w:equalWidth="0">
            <w:col w:w="3806" w:space="1306"/>
            <w:col w:w="4205"/>
          </w:cols>
          <w:noEndnote/>
          <w:titlePg/>
          <w:rtlGutter w:val="0"/>
          <w:docGrid w:linePitch="360"/>
        </w:sectPr>
      </w:pPr>
      <w:r>
        <w:fldChar w:fldCharType="begin"/>
      </w:r>
      <w:r>
        <w:rPr/>
        <w:instrText> HYPERLINK "mailto:ko@roseltorg.ru" </w:instrText>
      </w:r>
      <w:r>
        <w:fldChar w:fldCharType="separate"/>
      </w:r>
      <w:r>
        <w:rPr>
          <w:rStyle w:val="CharStyle12"/>
          <w:lang w:val="en-US" w:eastAsia="en-US"/>
        </w:rPr>
        <w:t>ko@roseltorg.ru</w:t>
      </w:r>
      <w:r>
        <w:fldChar w:fldCharType="end"/>
      </w: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7" w:right="0" w:bottom="490"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52"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077/06/106-10997/2025 </w:t>
      </w:r>
      <w:r>
        <w:rPr>
          <w:rStyle w:val="CharStyle12"/>
          <w:b/>
          <w:bCs/>
        </w:rPr>
        <w:t>о нарушении</w:t>
        <w:br/>
        <w:t>законодательства о контрактной системе</w:t>
        <w:br/>
      </w:r>
      <w:r>
        <w:rPr>
          <w:rStyle w:val="CharStyle12"/>
          <w:b/>
          <w:bCs/>
          <w:lang w:val="en-US" w:eastAsia="en-US"/>
        </w:rPr>
        <w:t>05.09.2025</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Главного специалиста-эксперта отдела обжалования государственных закупок Е.Д. Мартьяновой,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Ведущего специалиста-эксперта отдела обжалования государственных закупок М.В. Сорбучевой,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ГБУ «Аварийно-эксплуатационная служба»: В.В. Бокичева (по доверенности </w:t>
      </w:r>
      <w:r>
        <w:rPr>
          <w:rStyle w:val="CharStyle12"/>
          <w:lang w:val="en-US" w:eastAsia="en-US"/>
        </w:rPr>
        <w:t xml:space="preserve">№ 19/25 </w:t>
      </w:r>
      <w:r>
        <w:rPr>
          <w:rStyle w:val="CharStyle12"/>
        </w:rPr>
        <w:t xml:space="preserve">от </w:t>
      </w:r>
      <w:r>
        <w:rPr>
          <w:rStyle w:val="CharStyle12"/>
          <w:lang w:val="en-US" w:eastAsia="en-US"/>
        </w:rPr>
        <w:t xml:space="preserve">04.09.2025), </w:t>
      </w:r>
      <w:r>
        <w:rPr>
          <w:rStyle w:val="CharStyle12"/>
        </w:rPr>
        <w:t xml:space="preserve">С.В. Карташовой (по доверенности </w:t>
      </w:r>
      <w:r>
        <w:rPr>
          <w:rStyle w:val="CharStyle12"/>
          <w:lang w:val="en-US" w:eastAsia="en-US"/>
        </w:rPr>
        <w:t xml:space="preserve">№ 18/25 </w:t>
      </w:r>
      <w:r>
        <w:rPr>
          <w:rStyle w:val="CharStyle12"/>
        </w:rPr>
        <w:t xml:space="preserve">от </w:t>
      </w:r>
      <w:r>
        <w:rPr>
          <w:rStyle w:val="CharStyle12"/>
          <w:lang w:val="en-US" w:eastAsia="en-US"/>
        </w:rPr>
        <w:t>04.09.2025),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ООО «СОДЕЙСТВИЕ»: А.Ю. Ермошкина (по доверенности </w:t>
      </w:r>
      <w:r>
        <w:rPr>
          <w:rStyle w:val="CharStyle12"/>
          <w:lang w:val="en-US" w:eastAsia="en-US"/>
        </w:rPr>
        <w:t xml:space="preserve">№ </w:t>
      </w:r>
      <w:r>
        <w:rPr>
          <w:rStyle w:val="CharStyle12"/>
        </w:rPr>
        <w:t xml:space="preserve">б/н от </w:t>
      </w:r>
      <w:r>
        <w:rPr>
          <w:rStyle w:val="CharStyle12"/>
          <w:lang w:val="en-US" w:eastAsia="en-US"/>
        </w:rPr>
        <w:t>03.09.2025),</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 xml:space="preserve">рассмотрев жалобу ООО «СОДЕЙСТВИЕ» (далее </w:t>
      </w:r>
      <w:r>
        <w:rPr>
          <w:rStyle w:val="CharStyle12"/>
          <w:lang w:val="en-US" w:eastAsia="en-US"/>
        </w:rPr>
        <w:t xml:space="preserve">— </w:t>
      </w:r>
      <w:r>
        <w:rPr>
          <w:rStyle w:val="CharStyle12"/>
        </w:rPr>
        <w:t xml:space="preserve">Заявитель) на действия ГБУ «Аварийно-эксплуатационная служба» (далее </w:t>
      </w:r>
      <w:r>
        <w:rPr>
          <w:rStyle w:val="CharStyle12"/>
          <w:lang w:val="en-US" w:eastAsia="en-US"/>
        </w:rPr>
        <w:t xml:space="preserve">— </w:t>
      </w:r>
      <w:r>
        <w:rPr>
          <w:rStyle w:val="CharStyle12"/>
        </w:rPr>
        <w:t xml:space="preserve">Заказчик) при проведении запроса котировок в электронной форме на право заключения государственного контракта на поставку полотенец бумажных и туалетной бумаги (Закупка </w:t>
      </w:r>
      <w:r>
        <w:rPr>
          <w:rStyle w:val="CharStyle12"/>
          <w:lang w:val="en-US" w:eastAsia="en-US"/>
        </w:rPr>
        <w:t xml:space="preserve">№ 0873200005425000038) </w:t>
      </w:r>
      <w:r>
        <w:rPr>
          <w:rStyle w:val="CharStyle12"/>
        </w:rPr>
        <w:t xml:space="preserve">(далее </w:t>
      </w:r>
      <w:r>
        <w:rPr>
          <w:rStyle w:val="CharStyle12"/>
          <w:lang w:val="en-US" w:eastAsia="en-US"/>
        </w:rPr>
        <w:t xml:space="preserve">— </w:t>
      </w:r>
      <w:r>
        <w:rPr>
          <w:rStyle w:val="CharStyle12"/>
        </w:rPr>
        <w:t xml:space="preserve">запрос котировок),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4"/>
        <w:keepNext/>
        <w:keepLines/>
        <w:widowControl w:val="0"/>
        <w:shd w:val="clear" w:color="auto" w:fill="auto"/>
        <w:bidi w:val="0"/>
        <w:spacing w:before="0" w:after="0" w:line="240" w:lineRule="auto"/>
        <w:ind w:left="0" w:right="0"/>
        <w:jc w:val="left"/>
      </w:pPr>
      <w:bookmarkStart w:id="2" w:name="bookmark2"/>
      <w:r>
        <w:rPr>
          <w:rStyle w:val="CharStyle15"/>
        </w:rPr>
        <w:t>IIIIIIIIIIIIIIIIIIIIIIIIIII</w:t>
      </w:r>
      <w:bookmarkEnd w:id="2"/>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Московское УФАС России поступила жалоба Заявителя на действия Заказчика при проведении вышеуказанного запроса котировок.</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доводам жалобы Заявителя Заказчиком неправомерно размещен протокол признания ООО «СОДЕЙСТВИЕ» уклонившимся от заключения контракта от </w:t>
      </w:r>
      <w:r>
        <w:rPr>
          <w:rStyle w:val="CharStyle12"/>
          <w:lang w:val="en-US" w:eastAsia="en-US"/>
        </w:rPr>
        <w:t xml:space="preserve">01.09.2025 </w:t>
      </w:r>
      <w:r>
        <w:rPr>
          <w:rStyle w:val="CharStyle12"/>
        </w:rPr>
        <w:t>№ППУ20_1 на основании представлении ненадлежащего обеспечения исполнения контракта.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протоколом подведения итогов электронного аукциона от </w:t>
      </w:r>
      <w:r>
        <w:rPr>
          <w:rStyle w:val="CharStyle12"/>
          <w:lang w:val="en-US" w:eastAsia="en-US"/>
        </w:rPr>
        <w:t xml:space="preserve">27.08.2025 </w:t>
      </w:r>
      <w:r>
        <w:rPr>
          <w:rStyle w:val="CharStyle12"/>
        </w:rPr>
        <w:t>№ИЗК1 ООО «СОДЕЙСТВИЕ» признан победителем запроса котировок.</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 согласно протоколу признания участника уклонившимся от заключения контракта от </w:t>
      </w:r>
      <w:r>
        <w:rPr>
          <w:rStyle w:val="CharStyle12"/>
          <w:lang w:val="en-US" w:eastAsia="en-US"/>
        </w:rPr>
        <w:t xml:space="preserve">01.09.2025 </w:t>
      </w:r>
      <w:r>
        <w:rPr>
          <w:rStyle w:val="CharStyle12"/>
        </w:rPr>
        <w:t>№ППУ20_1 Заказчиком Заявитель признан уклонившимся от заключения контракта на следующем основании: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«Проект контракта и/или документ об обеспечении исполнения контракта запроса котировок в электронном виде </w:t>
      </w:r>
      <w:r>
        <w:rPr>
          <w:rStyle w:val="CharStyle12"/>
          <w:i/>
          <w:iCs/>
          <w:lang w:val="en-US" w:eastAsia="en-US"/>
        </w:rPr>
        <w:t xml:space="preserve">0873200005425000038 </w:t>
      </w:r>
      <w:r>
        <w:rPr>
          <w:rStyle w:val="CharStyle12"/>
          <w:i/>
          <w:iCs/>
        </w:rPr>
        <w:t xml:space="preserve">(Поставка полотенец бумажных и туалетной бумаги), подписанный ЭП участника закупки, с которым заключается контракт, не направлен оператору электронной площадки в установленные законом сроки, предусмотренные ч. </w:t>
      </w:r>
      <w:r>
        <w:rPr>
          <w:rStyle w:val="CharStyle12"/>
          <w:i/>
          <w:iCs/>
          <w:lang w:val="en-US" w:eastAsia="en-US"/>
        </w:rPr>
        <w:t xml:space="preserve">3 </w:t>
      </w:r>
      <w:r>
        <w:rPr>
          <w:rStyle w:val="CharStyle12"/>
          <w:i/>
          <w:iCs/>
        </w:rPr>
        <w:t xml:space="preserve">ст. </w:t>
      </w:r>
      <w:r>
        <w:rPr>
          <w:rStyle w:val="CharStyle12"/>
          <w:i/>
          <w:iCs/>
          <w:lang w:val="en-US" w:eastAsia="en-US"/>
        </w:rPr>
        <w:t xml:space="preserve">51 </w:t>
      </w:r>
      <w:r>
        <w:rPr>
          <w:rStyle w:val="CharStyle12"/>
          <w:i/>
          <w:iCs/>
        </w:rPr>
        <w:t xml:space="preserve">Закона </w:t>
      </w:r>
      <w:r>
        <w:rPr>
          <w:rStyle w:val="CharStyle12"/>
          <w:i/>
          <w:iCs/>
          <w:lang w:val="en-US" w:eastAsia="en-US"/>
        </w:rPr>
        <w:t xml:space="preserve">№ </w:t>
      </w:r>
      <w:r>
        <w:rPr>
          <w:rStyle w:val="CharStyle12"/>
          <w:i/>
          <w:iCs/>
        </w:rPr>
        <w:t>44-ФЗ».</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основании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w:t>
      </w:r>
      <w:r>
        <w:rPr>
          <w:rStyle w:val="CharStyle12"/>
          <w:lang w:val="en-US" w:eastAsia="en-US"/>
        </w:rPr>
        <w:t xml:space="preserve">- </w:t>
      </w:r>
      <w:r>
        <w:rPr>
          <w:rStyle w:val="CharStyle12"/>
        </w:rPr>
        <w:t xml:space="preserve">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w:t>
      </w:r>
      <w:r>
        <w:rPr>
          <w:rStyle w:val="CharStyle12"/>
          <w:lang w:val="en-US" w:eastAsia="en-US"/>
        </w:rPr>
        <w:t xml:space="preserve">2 </w:t>
      </w:r>
      <w:r>
        <w:rPr>
          <w:rStyle w:val="CharStyle12"/>
        </w:rPr>
        <w:t xml:space="preserve">части </w:t>
      </w:r>
      <w:r>
        <w:rPr>
          <w:rStyle w:val="CharStyle12"/>
          <w:lang w:val="en-US" w:eastAsia="en-US"/>
        </w:rPr>
        <w:t xml:space="preserve">6 </w:t>
      </w:r>
      <w:r>
        <w:rPr>
          <w:rStyle w:val="CharStyle12"/>
        </w:rPr>
        <w:t>ст.51,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rPr>
          <w:sz w:val="24"/>
          <w:szCs w:val="24"/>
        </w:rPr>
        <w:sectPr>
          <w:footnotePr>
            <w:pos w:val="pageBottom"/>
            <w:numFmt w:val="decimal"/>
            <w:numRestart w:val="continuous"/>
          </w:footnotePr>
          <w:type w:val="continuous"/>
          <w:pgSz w:w="11900" w:h="16840"/>
          <w:pgMar w:top="587" w:right="536" w:bottom="490" w:left="1087" w:header="0" w:footer="3" w:gutter="0"/>
          <w:cols w:space="720"/>
          <w:noEndnote/>
          <w:rtlGutter w:val="0"/>
          <w:docGrid w:linePitch="360"/>
        </w:sectPr>
      </w:pPr>
      <w:r>
        <w:rPr>
          <w:rStyle w:val="CharStyle12"/>
        </w:rPr>
        <w:t xml:space="preserve">Согласно пп. «б»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п.5 ч.2 ст.42 Закона о контрактной системе, который должен содержать цену контракта, соответствующую цене контракта, предложенной </w:t>
      </w:r>
      <w:r>
        <w:rPr>
          <w:rStyle w:val="CharStyle12"/>
          <w:sz w:val="24"/>
          <w:szCs w:val="24"/>
          <w:lang w:val="en-US" w:eastAsia="en-US"/>
        </w:rPr>
        <w:t>2025-40985</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ст.14 Закона о контрактной системе, положений ст.28 и </w:t>
      </w:r>
      <w:r>
        <w:rPr>
          <w:rStyle w:val="CharStyle12"/>
          <w:lang w:val="en-US" w:eastAsia="en-US"/>
        </w:rPr>
        <w:t xml:space="preserve">29 </w:t>
      </w:r>
      <w:r>
        <w:rPr>
          <w:rStyle w:val="CharStyle12"/>
        </w:rPr>
        <w:t xml:space="preserve">Закона о контрактной системе, цену каждого отдельного этапа исполнения контракта, определенную в соответствии с ч. </w:t>
      </w:r>
      <w:r>
        <w:rPr>
          <w:rStyle w:val="CharStyle12"/>
          <w:lang w:val="en-US" w:eastAsia="en-US"/>
        </w:rPr>
        <w:t xml:space="preserve">2 </w:t>
      </w:r>
      <w:r>
        <w:rPr>
          <w:rStyle w:val="CharStyle12"/>
        </w:rPr>
        <w:t xml:space="preserve">ст. </w:t>
      </w:r>
      <w:r>
        <w:rPr>
          <w:rStyle w:val="CharStyle12"/>
          <w:lang w:val="en-US" w:eastAsia="en-US"/>
        </w:rPr>
        <w:t xml:space="preserve">34 </w:t>
      </w:r>
      <w:r>
        <w:rPr>
          <w:rStyle w:val="CharStyle12"/>
        </w:rPr>
        <w:t>Закона о контрактной системе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пп. «в» или «г» п.1 ч.2 ст.51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ч.6 ст.50 Закона о контрактной системе заключение контракта по результатам проведения электронного запроса котировок осуществляется в порядке, установленном ст.51 Закона о контрактной системе, с учетом следующих особенностей:</w:t>
      </w:r>
    </w:p>
    <w:p>
      <w:pPr>
        <w:pStyle w:val="Style11"/>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rStyle w:val="CharStyle12"/>
        </w:rPr>
        <w:t>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pPr>
        <w:pStyle w:val="Style11"/>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12"/>
        </w:rPr>
        <w:t xml:space="preserve">участник закупки, с которым заключается контракт, осуществляет действия, предусмотренные п.1 ч.3 ст.51 Закона о контрактной системе, не позднее одного рабочего дня, следующего за днем осуществления заказчиком действий в соответствии с пунктом </w:t>
      </w:r>
      <w:r>
        <w:rPr>
          <w:rStyle w:val="CharStyle12"/>
          <w:lang w:val="en-US" w:eastAsia="en-US"/>
        </w:rPr>
        <w:t xml:space="preserve">1 </w:t>
      </w:r>
      <w:r>
        <w:rPr>
          <w:rStyle w:val="CharStyle12"/>
        </w:rPr>
        <w:t>настоящей части;</w:t>
      </w:r>
    </w:p>
    <w:p>
      <w:pPr>
        <w:pStyle w:val="Style11"/>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12"/>
        </w:rPr>
        <w:t>заказчик осуществляет действия, предусмотренные п.1 ч.4 ст.51 Закона о контрактной системе, не позднее одного рабочего дня, следующего за днем осуществления участником закупки, с которым заключается контракт, действий в соответствии с п.2 ч.6 ст.50 Закона о контрактной системе,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pPr>
        <w:pStyle w:val="Style11"/>
        <w:keepNext w:val="0"/>
        <w:keepLines w:val="0"/>
        <w:widowControl w:val="0"/>
        <w:numPr>
          <w:ilvl w:val="0"/>
          <w:numId w:val="1"/>
        </w:numPr>
        <w:shd w:val="clear" w:color="auto" w:fill="auto"/>
        <w:tabs>
          <w:tab w:pos="1081" w:val="left"/>
        </w:tabs>
        <w:bidi w:val="0"/>
        <w:spacing w:before="0" w:after="0" w:line="240" w:lineRule="auto"/>
        <w:ind w:left="0" w:right="0" w:firstLine="720"/>
        <w:jc w:val="both"/>
      </w:pPr>
      <w:r>
        <w:rPr>
          <w:rStyle w:val="CharStyle12"/>
        </w:rPr>
        <w:t xml:space="preserve">осуществление действий, предусмотренных п.2 ч.2, п.2 ч.3, п.2 и </w:t>
      </w:r>
      <w:r>
        <w:rPr>
          <w:rStyle w:val="CharStyle12"/>
          <w:lang w:val="en-US" w:eastAsia="en-US"/>
        </w:rPr>
        <w:t xml:space="preserve">3 </w:t>
      </w:r>
      <w:r>
        <w:rPr>
          <w:rStyle w:val="CharStyle12"/>
        </w:rPr>
        <w:t>ч.4 ст.51 Закона о контрактной системе, не допускается.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установлено, что Заказчиком в срок, предусмотренный п.1 ч.6 ст.50 Закона о контрактной системе в адрес Заявителя направлен на подписание проект государственного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п.1 ч.3 ст.51 Закона о контрактной системе не позднее пяти рабочих дней, следующих за днем размещения заказчиком в соответствии с частью </w:t>
      </w:r>
      <w:r>
        <w:rPr>
          <w:rStyle w:val="CharStyle12"/>
          <w:lang w:val="en-US" w:eastAsia="en-US"/>
        </w:rPr>
        <w:t xml:space="preserve">2 </w:t>
      </w:r>
      <w:r>
        <w:rPr>
          <w:rStyle w:val="CharStyle12"/>
        </w:rPr>
        <w:t>ст.51 проекта контракта, участник закупки, с которым заключается контракт, осуществляет одно из следующих действий:</w:t>
      </w:r>
    </w:p>
    <w:p>
      <w:pPr>
        <w:pStyle w:val="Style11"/>
        <w:keepNext w:val="0"/>
        <w:keepLines w:val="0"/>
        <w:widowControl w:val="0"/>
        <w:numPr>
          <w:ilvl w:val="0"/>
          <w:numId w:val="3"/>
        </w:numPr>
        <w:shd w:val="clear" w:color="auto" w:fill="auto"/>
        <w:tabs>
          <w:tab w:pos="1086" w:val="left"/>
        </w:tabs>
        <w:bidi w:val="0"/>
        <w:spacing w:before="0" w:after="0" w:line="240" w:lineRule="auto"/>
        <w:ind w:left="0" w:right="0" w:firstLine="720"/>
        <w:jc w:val="both"/>
      </w:pPr>
      <w:r>
        <w:rPr>
          <w:rStyle w:val="CharStyle12"/>
        </w:rPr>
        <w:t>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 При этом такой участник закупки:</w:t>
      </w:r>
    </w:p>
    <w:p>
      <w:pPr>
        <w:pStyle w:val="Style11"/>
        <w:keepNext w:val="0"/>
        <w:keepLines w:val="0"/>
        <w:widowControl w:val="0"/>
        <w:numPr>
          <w:ilvl w:val="0"/>
          <w:numId w:val="3"/>
        </w:numPr>
        <w:shd w:val="clear" w:color="auto" w:fill="auto"/>
        <w:tabs>
          <w:tab w:pos="1838" w:val="left"/>
        </w:tabs>
        <w:bidi w:val="0"/>
        <w:spacing w:before="0" w:after="0" w:line="240" w:lineRule="auto"/>
        <w:ind w:left="0" w:right="0" w:firstLine="720"/>
        <w:jc w:val="both"/>
      </w:pPr>
      <w:r>
        <w:rPr>
          <w:rStyle w:val="CharStyle12"/>
        </w:rPr>
        <w:t xml:space="preserve">в случаях, предусмотренных статьей </w:t>
      </w:r>
      <w:r>
        <w:rPr>
          <w:rStyle w:val="CharStyle12"/>
          <w:lang w:val="en-US" w:eastAsia="en-US"/>
        </w:rPr>
        <w:t xml:space="preserve">37 </w:t>
      </w:r>
      <w:r>
        <w:rPr>
          <w:rStyle w:val="CharStyle12"/>
        </w:rPr>
        <w:t>Закона о контрактной системе,</w:t>
      </w:r>
    </w:p>
    <w:p>
      <w:pPr>
        <w:pStyle w:val="Style11"/>
        <w:keepNext w:val="0"/>
        <w:keepLines w:val="0"/>
        <w:widowControl w:val="0"/>
        <w:shd w:val="clear" w:color="auto" w:fill="auto"/>
        <w:bidi w:val="0"/>
        <w:spacing w:before="0" w:after="0" w:line="228" w:lineRule="auto"/>
        <w:ind w:left="0" w:right="0" w:firstLine="0"/>
        <w:jc w:val="both"/>
      </w:pPr>
      <w:r>
        <w:rPr>
          <w:rStyle w:val="CharStyle12"/>
        </w:rPr>
        <w:t>одновременно представляет заказчику информацию и документы, предусмотренные указанной статьей;</w:t>
      </w:r>
    </w:p>
    <w:p>
      <w:pPr>
        <w:pStyle w:val="Style11"/>
        <w:keepNext w:val="0"/>
        <w:keepLines w:val="0"/>
        <w:widowControl w:val="0"/>
        <w:numPr>
          <w:ilvl w:val="0"/>
          <w:numId w:val="3"/>
        </w:numPr>
        <w:shd w:val="clear" w:color="auto" w:fill="auto"/>
        <w:tabs>
          <w:tab w:pos="1085" w:val="left"/>
        </w:tabs>
        <w:bidi w:val="0"/>
        <w:spacing w:before="0" w:after="0" w:line="228" w:lineRule="auto"/>
        <w:ind w:left="0" w:right="0" w:firstLine="720"/>
        <w:jc w:val="both"/>
      </w:pPr>
      <w:r>
        <w:rPr>
          <w:rStyle w:val="CharStyle12"/>
        </w:rPr>
        <w:t>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p>
      <w:pPr>
        <w:pStyle w:val="Style11"/>
        <w:keepNext w:val="0"/>
        <w:keepLines w:val="0"/>
        <w:widowControl w:val="0"/>
        <w:shd w:val="clear" w:color="auto" w:fill="auto"/>
        <w:bidi w:val="0"/>
        <w:spacing w:before="0" w:after="0" w:line="228" w:lineRule="auto"/>
        <w:ind w:left="0" w:right="0" w:firstLine="720"/>
        <w:jc w:val="both"/>
      </w:pPr>
      <w:r>
        <w:rPr>
          <w:rStyle w:val="CharStyle12"/>
        </w:rPr>
        <w:t xml:space="preserve">В соответствии с ч. </w:t>
      </w:r>
      <w:r>
        <w:rPr>
          <w:rStyle w:val="CharStyle12"/>
          <w:lang w:val="en-US" w:eastAsia="en-US"/>
        </w:rPr>
        <w:t xml:space="preserve">6 </w:t>
      </w:r>
      <w:r>
        <w:rPr>
          <w:rStyle w:val="CharStyle12"/>
        </w:rPr>
        <w:t xml:space="preserve">ст. </w:t>
      </w:r>
      <w:r>
        <w:rPr>
          <w:rStyle w:val="CharStyle12"/>
          <w:lang w:val="en-US" w:eastAsia="en-US"/>
        </w:rPr>
        <w:t xml:space="preserve">51 </w:t>
      </w:r>
      <w:r>
        <w:rPr>
          <w:rStyle w:val="CharStyle12"/>
        </w:rPr>
        <w:t xml:space="preserve">Закона о контрактной системе, в случае, если участником закупки, с которым заключается контракт, не выполнены требования, предусмотренные частью </w:t>
      </w:r>
      <w:r>
        <w:rPr>
          <w:rStyle w:val="CharStyle12"/>
          <w:lang w:val="en-US" w:eastAsia="en-US"/>
        </w:rPr>
        <w:t xml:space="preserve">3 </w:t>
      </w:r>
      <w:r>
        <w:rPr>
          <w:rStyle w:val="CharStyle12"/>
        </w:rPr>
        <w:t xml:space="preserve">(за исключением случая, предусмотренного пунктом </w:t>
      </w:r>
      <w:r>
        <w:rPr>
          <w:rStyle w:val="CharStyle12"/>
          <w:lang w:val="en-US" w:eastAsia="en-US"/>
        </w:rPr>
        <w:t xml:space="preserve">3 </w:t>
      </w:r>
      <w:r>
        <w:rPr>
          <w:rStyle w:val="CharStyle12"/>
        </w:rPr>
        <w:t xml:space="preserve">части </w:t>
      </w:r>
      <w:r>
        <w:rPr>
          <w:rStyle w:val="CharStyle12"/>
          <w:lang w:val="en-US" w:eastAsia="en-US"/>
        </w:rPr>
        <w:t xml:space="preserve">3 </w:t>
      </w:r>
      <w:r>
        <w:rPr>
          <w:rStyle w:val="CharStyle12"/>
        </w:rPr>
        <w:t xml:space="preserve">настоящей статьи, а также случая, если таким участником закупки в срок, установленный частью </w:t>
      </w:r>
      <w:r>
        <w:rPr>
          <w:rStyle w:val="CharStyle12"/>
          <w:lang w:val="en-US" w:eastAsia="en-US"/>
        </w:rPr>
        <w:t xml:space="preserve">3 </w:t>
      </w:r>
      <w:r>
        <w:rPr>
          <w:rStyle w:val="CharStyle12"/>
        </w:rPr>
        <w:t xml:space="preserve">статьи </w:t>
      </w:r>
      <w:r>
        <w:rPr>
          <w:rStyle w:val="CharStyle12"/>
          <w:lang w:val="en-US" w:eastAsia="en-US"/>
        </w:rPr>
        <w:t xml:space="preserve">51 </w:t>
      </w:r>
      <w:r>
        <w:rPr>
          <w:rStyle w:val="CharStyle12"/>
        </w:rPr>
        <w:t xml:space="preserve">Закона о контрактной системе, не выполнены требования пункта </w:t>
      </w:r>
      <w:r>
        <w:rPr>
          <w:rStyle w:val="CharStyle12"/>
          <w:lang w:val="en-US" w:eastAsia="en-US"/>
        </w:rPr>
        <w:t xml:space="preserve">3 </w:t>
      </w:r>
      <w:r>
        <w:rPr>
          <w:rStyle w:val="CharStyle12"/>
        </w:rPr>
        <w:t xml:space="preserve">части </w:t>
      </w:r>
      <w:r>
        <w:rPr>
          <w:rStyle w:val="CharStyle12"/>
          <w:lang w:val="en-US" w:eastAsia="en-US"/>
        </w:rPr>
        <w:t xml:space="preserve">3 </w:t>
      </w:r>
      <w:r>
        <w:rPr>
          <w:rStyle w:val="CharStyle12"/>
        </w:rPr>
        <w:t xml:space="preserve">настоящей статьи) и частью </w:t>
      </w:r>
      <w:r>
        <w:rPr>
          <w:rStyle w:val="CharStyle12"/>
          <w:lang w:val="en-US" w:eastAsia="en-US"/>
        </w:rPr>
        <w:t xml:space="preserve">5 </w:t>
      </w:r>
      <w:r>
        <w:rPr>
          <w:rStyle w:val="CharStyle12"/>
        </w:rPr>
        <w:t xml:space="preserve">статьи </w:t>
      </w:r>
      <w:r>
        <w:rPr>
          <w:rStyle w:val="CharStyle12"/>
          <w:lang w:val="en-US" w:eastAsia="en-US"/>
        </w:rPr>
        <w:t xml:space="preserve">51 </w:t>
      </w:r>
      <w:r>
        <w:rPr>
          <w:rStyle w:val="CharStyle12"/>
        </w:rPr>
        <w:t>Закона о контрактной системе:</w:t>
      </w:r>
    </w:p>
    <w:p>
      <w:pPr>
        <w:pStyle w:val="Style11"/>
        <w:keepNext w:val="0"/>
        <w:keepLines w:val="0"/>
        <w:widowControl w:val="0"/>
        <w:numPr>
          <w:ilvl w:val="0"/>
          <w:numId w:val="5"/>
        </w:numPr>
        <w:shd w:val="clear" w:color="auto" w:fill="auto"/>
        <w:tabs>
          <w:tab w:pos="1095" w:val="left"/>
        </w:tabs>
        <w:bidi w:val="0"/>
        <w:spacing w:before="0" w:after="0" w:line="228" w:lineRule="auto"/>
        <w:ind w:left="0" w:right="0" w:firstLine="720"/>
        <w:jc w:val="both"/>
      </w:pPr>
      <w:r>
        <w:rPr>
          <w:rStyle w:val="CharStyle12"/>
        </w:rPr>
        <w:t>такой участник закупки считается уклонившимся от заключения контракта;</w:t>
      </w:r>
    </w:p>
    <w:p>
      <w:pPr>
        <w:pStyle w:val="Style11"/>
        <w:keepNext w:val="0"/>
        <w:keepLines w:val="0"/>
        <w:widowControl w:val="0"/>
        <w:numPr>
          <w:ilvl w:val="0"/>
          <w:numId w:val="5"/>
        </w:numPr>
        <w:shd w:val="clear" w:color="auto" w:fill="auto"/>
        <w:tabs>
          <w:tab w:pos="1085" w:val="left"/>
        </w:tabs>
        <w:bidi w:val="0"/>
        <w:spacing w:before="0" w:after="0" w:line="228" w:lineRule="auto"/>
        <w:ind w:left="0" w:right="0" w:firstLine="720"/>
        <w:jc w:val="both"/>
      </w:pPr>
      <w:r>
        <w:rPr>
          <w:rStyle w:val="CharStyle12"/>
        </w:rPr>
        <w:t xml:space="preserve">заказчик не позднее одного рабочего дня, следующего за днем истечения срока выполнения участником закупки требований, предусмотренных частями </w:t>
      </w:r>
      <w:r>
        <w:rPr>
          <w:rStyle w:val="CharStyle12"/>
          <w:lang w:val="en-US" w:eastAsia="en-US"/>
        </w:rPr>
        <w:t xml:space="preserve">3 </w:t>
      </w:r>
      <w:r>
        <w:rPr>
          <w:rStyle w:val="CharStyle12"/>
        </w:rPr>
        <w:t xml:space="preserve">и </w:t>
      </w:r>
      <w:r>
        <w:rPr>
          <w:rStyle w:val="CharStyle12"/>
          <w:lang w:val="en-US" w:eastAsia="en-US"/>
        </w:rPr>
        <w:t xml:space="preserve">5 </w:t>
      </w:r>
      <w:r>
        <w:rPr>
          <w:rStyle w:val="CharStyle12"/>
        </w:rPr>
        <w:t xml:space="preserve">статьи </w:t>
      </w:r>
      <w:r>
        <w:rPr>
          <w:rStyle w:val="CharStyle12"/>
          <w:lang w:val="en-US" w:eastAsia="en-US"/>
        </w:rPr>
        <w:t xml:space="preserve">51 </w:t>
      </w:r>
      <w:r>
        <w:rPr>
          <w:rStyle w:val="CharStyle12"/>
        </w:rPr>
        <w:t>Закона о контрактной системе:</w:t>
      </w:r>
    </w:p>
    <w:p>
      <w:pPr>
        <w:pStyle w:val="Style11"/>
        <w:keepNext w:val="0"/>
        <w:keepLines w:val="0"/>
        <w:widowControl w:val="0"/>
        <w:shd w:val="clear" w:color="auto" w:fill="auto"/>
        <w:bidi w:val="0"/>
        <w:spacing w:before="0" w:after="0" w:line="228" w:lineRule="auto"/>
        <w:ind w:left="0" w:right="0" w:firstLine="720"/>
        <w:jc w:val="both"/>
      </w:pPr>
      <w:r>
        <w:rPr>
          <w:rStyle w:val="CharStyle12"/>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1"/>
        <w:keepNext w:val="0"/>
        <w:keepLines w:val="0"/>
        <w:widowControl w:val="0"/>
        <w:shd w:val="clear" w:color="auto" w:fill="auto"/>
        <w:bidi w:val="0"/>
        <w:spacing w:before="0" w:after="0" w:line="228" w:lineRule="auto"/>
        <w:ind w:left="0" w:right="0" w:firstLine="720"/>
        <w:jc w:val="both"/>
      </w:pPr>
      <w:r>
        <w:rPr>
          <w:rStyle w:val="CharStyle12"/>
        </w:rPr>
        <w:t xml:space="preserve">Согласно п.13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 предоставлении преимущества в соответствии со ст.28 и </w:t>
      </w:r>
      <w:r>
        <w:rPr>
          <w:rStyle w:val="CharStyle12"/>
          <w:lang w:val="en-US" w:eastAsia="en-US"/>
        </w:rPr>
        <w:t xml:space="preserve">29 </w:t>
      </w:r>
      <w:r>
        <w:rPr>
          <w:rStyle w:val="CharStyle12"/>
        </w:rPr>
        <w:t>Закона о контрактной системе.</w:t>
      </w:r>
    </w:p>
    <w:p>
      <w:pPr>
        <w:pStyle w:val="Style11"/>
        <w:keepNext w:val="0"/>
        <w:keepLines w:val="0"/>
        <w:widowControl w:val="0"/>
        <w:shd w:val="clear" w:color="auto" w:fill="auto"/>
        <w:bidi w:val="0"/>
        <w:spacing w:before="0" w:after="0" w:line="228" w:lineRule="auto"/>
        <w:ind w:left="0" w:right="0" w:firstLine="720"/>
        <w:jc w:val="both"/>
      </w:pPr>
      <w:r>
        <w:rPr>
          <w:rStyle w:val="CharStyle12"/>
        </w:rPr>
        <w:t>В силу ч.1 ст.29 Закона о контрактной системе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ч.24 ст.22 Закона о контрактной системе)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Законом о контрактной системе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pPr>
        <w:pStyle w:val="Style11"/>
        <w:keepNext w:val="0"/>
        <w:keepLines w:val="0"/>
        <w:widowControl w:val="0"/>
        <w:shd w:val="clear" w:color="auto" w:fill="auto"/>
        <w:bidi w:val="0"/>
        <w:spacing w:before="0" w:after="0" w:line="228" w:lineRule="auto"/>
        <w:ind w:left="0" w:right="0" w:firstLine="720"/>
        <w:jc w:val="both"/>
        <w:sectPr>
          <w:headerReference w:type="default" r:id="rId11"/>
          <w:footerReference w:type="default" r:id="rId12"/>
          <w:footnotePr>
            <w:pos w:val="pageBottom"/>
            <w:numFmt w:val="decimal"/>
            <w:numRestart w:val="continuous"/>
          </w:footnotePr>
          <w:pgSz w:w="11900" w:h="16840"/>
          <w:pgMar w:top="1162" w:right="542" w:bottom="1292" w:left="1100" w:header="0" w:footer="3" w:gutter="0"/>
          <w:cols w:space="720"/>
          <w:noEndnote/>
          <w:rtlGutter w:val="0"/>
          <w:docGrid w:linePitch="360"/>
        </w:sectPr>
      </w:pPr>
      <w:r>
        <w:rPr>
          <w:rStyle w:val="CharStyle12"/>
        </w:rPr>
        <w:t>Согласно ч.4 ст.106 Закона о контрактной системе лица участник закупки,</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заседании Комиссия Управления представитель Заявителя пояснил, что согласно протоколу подведения итогов определений поставщика (подрядчика, исполнителя) от </w:t>
      </w:r>
      <w:r>
        <w:rPr>
          <w:rStyle w:val="CharStyle12"/>
          <w:lang w:val="en-US" w:eastAsia="en-US"/>
        </w:rPr>
        <w:t xml:space="preserve">27.08.2025 </w:t>
      </w:r>
      <w:r>
        <w:rPr>
          <w:rStyle w:val="CharStyle12"/>
        </w:rPr>
        <w:t xml:space="preserve">№ИЗК1 Заявитель подал заявку на участие в закупке с суммой цен единиц товара </w:t>
      </w:r>
      <w:r>
        <w:rPr>
          <w:rStyle w:val="CharStyle12"/>
          <w:lang w:val="en-US" w:eastAsia="en-US"/>
        </w:rPr>
        <w:t xml:space="preserve">— 1 250,00 </w:t>
      </w:r>
      <w:r>
        <w:rPr>
          <w:rStyle w:val="CharStyle12"/>
        </w:rPr>
        <w:t xml:space="preserve">руб., ввиду чего с учетом положений ст.29 Закона о контрактной системе контракт должен заключаться по сумме цен </w:t>
      </w:r>
      <w:r>
        <w:rPr>
          <w:rStyle w:val="CharStyle12"/>
          <w:lang w:val="en-US" w:eastAsia="en-US"/>
        </w:rPr>
        <w:t xml:space="preserve">1 437,5 </w:t>
      </w:r>
      <w:r>
        <w:rPr>
          <w:rStyle w:val="CharStyle12"/>
        </w:rPr>
        <w:t>руб.</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тем </w:t>
      </w:r>
      <w:r>
        <w:rPr>
          <w:rStyle w:val="CharStyle12"/>
          <w:lang w:val="en-US" w:eastAsia="en-US"/>
        </w:rPr>
        <w:t xml:space="preserve">27.08.2025 </w:t>
      </w:r>
      <w:r>
        <w:rPr>
          <w:rStyle w:val="CharStyle12"/>
        </w:rPr>
        <w:t xml:space="preserve">в адрес Заявителя через электронную площадку направлен на подписание проект контракта, при этом в структурированной форме электронного контракта указана сумма цен за единицу товара </w:t>
      </w:r>
      <w:r>
        <w:rPr>
          <w:rStyle w:val="CharStyle12"/>
          <w:lang w:val="en-US" w:eastAsia="en-US"/>
        </w:rPr>
        <w:t xml:space="preserve">1 250,00 </w:t>
      </w:r>
      <w:r>
        <w:rPr>
          <w:rStyle w:val="CharStyle12"/>
        </w:rPr>
        <w:t xml:space="preserve">руб. без учета положений ст. </w:t>
      </w:r>
      <w:r>
        <w:rPr>
          <w:rStyle w:val="CharStyle12"/>
          <w:lang w:val="en-US" w:eastAsia="en-US"/>
        </w:rPr>
        <w:t xml:space="preserve">29 </w:t>
      </w:r>
      <w:r>
        <w:rPr>
          <w:rStyle w:val="CharStyle12"/>
        </w:rPr>
        <w:t>Закона о контрактной системе, что является нарушением со стороны Заказчика.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заседании Комиссии Управления представитель Заказчика согласился с доводом жалобы, при этом добавил, что при формировании контракта в структурированном виде в ЕИС произошла техническая ошибка, вследствие которой цена в структурированной форме контракта сформировалась без учета положений ст. </w:t>
      </w:r>
      <w:r>
        <w:rPr>
          <w:rStyle w:val="CharStyle12"/>
          <w:lang w:val="en-US" w:eastAsia="en-US"/>
        </w:rPr>
        <w:t xml:space="preserve">29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свою очередь, Комиссия Управления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ч.1 ст. </w:t>
      </w:r>
      <w:r>
        <w:rPr>
          <w:rStyle w:val="CharStyle12"/>
          <w:lang w:val="en-US" w:eastAsia="en-US"/>
        </w:rPr>
        <w:t xml:space="preserve">34 </w:t>
      </w:r>
      <w:r>
        <w:rPr>
          <w:rStyle w:val="CharStyle12"/>
        </w:rPr>
        <w:t>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Комиссией Управления установлено, что согласно протоколу подведения итогов определения поставщика (подрядчика, исполнителя) от </w:t>
      </w:r>
      <w:r>
        <w:rPr>
          <w:rStyle w:val="CharStyle12"/>
          <w:lang w:val="en-US" w:eastAsia="en-US"/>
        </w:rPr>
        <w:t xml:space="preserve">27.08.2025 </w:t>
      </w:r>
      <w:r>
        <w:rPr>
          <w:rStyle w:val="CharStyle12"/>
        </w:rPr>
        <w:t xml:space="preserve">№ИЗК1 Заявителем предложено ценовое предложение </w:t>
      </w:r>
      <w:r>
        <w:rPr>
          <w:rStyle w:val="CharStyle12"/>
          <w:lang w:val="en-US" w:eastAsia="en-US"/>
        </w:rPr>
        <w:t xml:space="preserve">1 250,00 </w:t>
      </w:r>
      <w:r>
        <w:rPr>
          <w:rStyle w:val="CharStyle12"/>
        </w:rPr>
        <w:t xml:space="preserve">руб., при этом с учетом увеличения на </w:t>
      </w:r>
      <w:r>
        <w:rPr>
          <w:rStyle w:val="CharStyle12"/>
          <w:lang w:val="en-US" w:eastAsia="en-US"/>
        </w:rPr>
        <w:t xml:space="preserve">15% </w:t>
      </w:r>
      <w:r>
        <w:rPr>
          <w:rStyle w:val="CharStyle12"/>
        </w:rPr>
        <w:t xml:space="preserve">в соответствии со ст.29 Закона о контрактной системе предложение о цене должно составить </w:t>
      </w:r>
      <w:r>
        <w:rPr>
          <w:rStyle w:val="CharStyle12"/>
          <w:lang w:val="en-US" w:eastAsia="en-US"/>
        </w:rPr>
        <w:t xml:space="preserve">1 437,50 </w:t>
      </w:r>
      <w:r>
        <w:rPr>
          <w:rStyle w:val="CharStyle12"/>
        </w:rPr>
        <w:t>руб.</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тем в направленной победителю структурированной форме контракта указана сумма цен за единицу </w:t>
      </w:r>
      <w:r>
        <w:rPr>
          <w:rStyle w:val="CharStyle12"/>
          <w:lang w:val="en-US" w:eastAsia="en-US"/>
        </w:rPr>
        <w:t xml:space="preserve">1 250,00 </w:t>
      </w:r>
      <w:r>
        <w:rPr>
          <w:rStyle w:val="CharStyle12"/>
        </w:rPr>
        <w:t xml:space="preserve">руб. без увеличения цены на </w:t>
      </w:r>
      <w:r>
        <w:rPr>
          <w:rStyle w:val="CharStyle12"/>
          <w:lang w:val="en-US" w:eastAsia="en-US"/>
        </w:rPr>
        <w:t>15%.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Таким образом, Комиссия Управления отмечает, что Заказчиком в нарушение ч. </w:t>
      </w:r>
      <w:r>
        <w:rPr>
          <w:rStyle w:val="CharStyle12"/>
          <w:lang w:val="en-US" w:eastAsia="en-US"/>
        </w:rPr>
        <w:t xml:space="preserve">1 </w:t>
      </w:r>
      <w:r>
        <w:rPr>
          <w:rStyle w:val="CharStyle12"/>
        </w:rPr>
        <w:t xml:space="preserve">ст. </w:t>
      </w:r>
      <w:r>
        <w:rPr>
          <w:rStyle w:val="CharStyle12"/>
          <w:lang w:val="en-US" w:eastAsia="en-US"/>
        </w:rPr>
        <w:t xml:space="preserve">34 </w:t>
      </w:r>
      <w:r>
        <w:rPr>
          <w:rStyle w:val="CharStyle12"/>
        </w:rPr>
        <w:t xml:space="preserve">Закона о контрактной системе направлен победителю закупки контракт не на условиях извещения и заявки Заявителя, которым сделано ценовое предложение </w:t>
      </w:r>
      <w:r>
        <w:rPr>
          <w:rStyle w:val="CharStyle12"/>
          <w:lang w:val="en-US" w:eastAsia="en-US"/>
        </w:rPr>
        <w:t xml:space="preserve">1 250,00 </w:t>
      </w:r>
      <w:r>
        <w:rPr>
          <w:rStyle w:val="CharStyle12"/>
        </w:rPr>
        <w:t xml:space="preserve">руб., ввиду чего с учетом увеличения </w:t>
      </w:r>
      <w:r>
        <w:rPr>
          <w:rStyle w:val="CharStyle12"/>
          <w:lang w:val="en-US" w:eastAsia="en-US"/>
        </w:rPr>
        <w:t xml:space="preserve">15% </w:t>
      </w:r>
      <w:r>
        <w:rPr>
          <w:rStyle w:val="CharStyle12"/>
        </w:rPr>
        <w:t xml:space="preserve">цена контракта должна составить </w:t>
      </w:r>
      <w:r>
        <w:rPr>
          <w:rStyle w:val="CharStyle12"/>
          <w:lang w:val="en-US" w:eastAsia="en-US"/>
        </w:rPr>
        <w:t xml:space="preserve">1 437,50 </w:t>
      </w:r>
      <w:r>
        <w:rPr>
          <w:rStyle w:val="CharStyle12"/>
        </w:rPr>
        <w:t>руб., при этом в направленном Заказчиком победителю закупки электронном контракте указана сумма без увеличения.</w:t>
      </w:r>
    </w:p>
    <w:p>
      <w:pPr>
        <w:pStyle w:val="Style11"/>
        <w:keepNext w:val="0"/>
        <w:keepLines w:val="0"/>
        <w:widowControl w:val="0"/>
        <w:shd w:val="clear" w:color="auto" w:fill="auto"/>
        <w:bidi w:val="0"/>
        <w:spacing w:before="0" w:after="0" w:line="276"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162" w:right="546" w:bottom="677" w:left="1106" w:header="0" w:footer="249" w:gutter="0"/>
          <w:cols w:space="720"/>
          <w:noEndnote/>
          <w:rtlGutter w:val="0"/>
          <w:docGrid w:linePitch="360"/>
        </w:sectPr>
      </w:pPr>
      <w:r>
        <w:rPr>
          <w:rStyle w:val="CharStyle12"/>
        </w:rPr>
        <w:t xml:space="preserve">Таким образом, на основании имеющихся документов и сведений, Комиссия Управления приходит к выводу об обоснованности данного довода жалобы и о нарушении Заказчиком ч.1 ст.34, пп. «б» п.1 ч.2 ст.51 Закона о контрактной системе, </w:t>
      </w:r>
      <w:r>
        <w:rPr>
          <w:rStyle w:val="CharStyle12"/>
          <w:sz w:val="24"/>
          <w:szCs w:val="24"/>
          <w:lang w:val="en-US" w:eastAsia="en-US"/>
        </w:rPr>
        <w:t>2025-40985</w:t>
      </w:r>
    </w:p>
    <w:p>
      <w:pPr>
        <w:pStyle w:val="Style11"/>
        <w:keepNext w:val="0"/>
        <w:keepLines w:val="0"/>
        <w:widowControl w:val="0"/>
        <w:shd w:val="clear" w:color="auto" w:fill="auto"/>
        <w:bidi w:val="0"/>
        <w:spacing w:before="0" w:after="0" w:line="240" w:lineRule="auto"/>
        <w:ind w:left="0" w:right="0" w:firstLine="0"/>
        <w:jc w:val="both"/>
      </w:pPr>
      <w:r>
        <w:rPr>
          <w:rStyle w:val="CharStyle12"/>
        </w:rPr>
        <w:t>что содержит признаки состава административного правонарушения, ответственность за которое предусмотрена ч.1 ст.7.30.2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 Е Ш И Л А:</w:t>
      </w:r>
    </w:p>
    <w:p>
      <w:pPr>
        <w:pStyle w:val="Style11"/>
        <w:keepNext w:val="0"/>
        <w:keepLines w:val="0"/>
        <w:widowControl w:val="0"/>
        <w:shd w:val="clear" w:color="auto" w:fill="auto"/>
        <w:bidi w:val="0"/>
        <w:spacing w:before="0" w:after="0" w:line="240" w:lineRule="auto"/>
        <w:ind w:left="0" w:right="0" w:firstLine="720"/>
        <w:jc w:val="both"/>
      </w:pPr>
      <w:r>
        <mc:AlternateContent>
          <mc:Choice Requires="wps">
            <w:drawing>
              <wp:anchor distT="0" distB="0" distL="76200" distR="76200" simplePos="0" relativeHeight="125829378" behindDoc="0" locked="0" layoutInCell="1" allowOverlap="1">
                <wp:simplePos x="0" y="0"/>
                <wp:positionH relativeFrom="page">
                  <wp:posOffset>4752975</wp:posOffset>
                </wp:positionH>
                <wp:positionV relativeFrom="paragraph">
                  <wp:posOffset>12700</wp:posOffset>
                </wp:positionV>
                <wp:extent cx="2456815" cy="243840"/>
                <wp:wrapSquare wrapText="left"/>
                <wp:docPr id="12" name="Shape 12"/>
                <a:graphic xmlns:a="http://schemas.openxmlformats.org/drawingml/2006/main">
                  <a:graphicData uri="http://schemas.microsoft.com/office/word/2010/wordprocessingShape">
                    <wps:wsp>
                      <wps:cNvSpPr txBox="1"/>
                      <wps:spPr>
                        <a:xfrm>
                          <a:ext cx="245681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на действия ГБУ «Аварийно-</w:t>
                            </w:r>
                          </w:p>
                        </w:txbxContent>
                      </wps:txbx>
                      <wps:bodyPr wrap="none" lIns="0" tIns="0" rIns="0" bIns="0">
                        <a:noAutoFit/>
                      </wps:bodyPr>
                    </wps:wsp>
                  </a:graphicData>
                </a:graphic>
              </wp:anchor>
            </w:drawing>
          </mc:Choice>
          <mc:Fallback>
            <w:pict>
              <v:shape id="_x0000_s1038" type="#_x0000_t202" style="position:absolute;margin-left:374.25pt;margin-top:1.pt;width:193.45000000000002pt;height:19.199999999999999pt;z-index:-125829375;mso-wrap-distance-left:6.pt;mso-wrap-distance-right: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на действия ГБУ «Аварийно-</w:t>
                      </w:r>
                    </w:p>
                  </w:txbxContent>
                </v:textbox>
                <w10:wrap type="square" side="left" anchorx="page"/>
              </v:shape>
            </w:pict>
          </mc:Fallback>
        </mc:AlternateContent>
      </w:r>
      <w:r>
        <w:rPr>
          <w:rStyle w:val="CharStyle12"/>
        </w:rPr>
        <w:t>1.Признать жалобу ООО «СОДЕЙСТВИЕ»</w:t>
      </w:r>
    </w:p>
    <w:p>
      <w:pPr>
        <w:pStyle w:val="Style11"/>
        <w:keepNext w:val="0"/>
        <w:keepLines w:val="0"/>
        <w:widowControl w:val="0"/>
        <w:shd w:val="clear" w:color="auto" w:fill="auto"/>
        <w:bidi w:val="0"/>
        <w:spacing w:before="0" w:after="0" w:line="240" w:lineRule="auto"/>
        <w:ind w:left="0" w:right="0" w:firstLine="0"/>
        <w:jc w:val="both"/>
      </w:pPr>
      <w:r>
        <w:rPr>
          <w:rStyle w:val="CharStyle12"/>
        </w:rPr>
        <w:t>эксплуатационная служба» обоснованной.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2.Признать в действиях Заказчика нарушение ч.1 ст.34, пп. «б» п.1 ч.2 ст.51</w:t>
      </w:r>
    </w:p>
    <w:p>
      <w:pPr>
        <w:pStyle w:val="Style11"/>
        <w:keepNext w:val="0"/>
        <w:keepLines w:val="0"/>
        <w:widowControl w:val="0"/>
        <w:shd w:val="clear" w:color="auto" w:fill="auto"/>
        <w:bidi w:val="0"/>
        <w:spacing w:before="0" w:after="0" w:line="240" w:lineRule="auto"/>
        <w:ind w:left="0" w:right="0" w:firstLine="0"/>
        <w:jc w:val="both"/>
      </w:pP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3.Выдать Заказчику обязательное для исполнения предписание об устранении</w:t>
      </w:r>
    </w:p>
    <w:p>
      <w:pPr>
        <w:pStyle w:val="Style11"/>
        <w:keepNext w:val="0"/>
        <w:keepLines w:val="0"/>
        <w:widowControl w:val="0"/>
        <w:shd w:val="clear" w:color="auto" w:fill="auto"/>
        <w:bidi w:val="0"/>
        <w:spacing w:before="0" w:after="0" w:line="240" w:lineRule="auto"/>
        <w:ind w:left="0" w:right="0" w:firstLine="0"/>
        <w:jc w:val="both"/>
      </w:pPr>
      <w:r>
        <w:rPr>
          <w:rStyle w:val="CharStyle12"/>
        </w:rPr>
        <w:t>нарушений 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4.Передать материалы дела соответствующему должностному лицу Московского УФАС России для рассмотрения вопроса о возбуждении дела об</w:t>
      </w:r>
    </w:p>
    <w:p>
      <w:pPr>
        <w:pStyle w:val="Style11"/>
        <w:keepNext w:val="0"/>
        <w:keepLines w:val="0"/>
        <w:widowControl w:val="0"/>
        <w:shd w:val="clear" w:color="auto" w:fill="auto"/>
        <w:bidi w:val="0"/>
        <w:spacing w:before="0" w:after="340" w:line="240" w:lineRule="auto"/>
        <w:ind w:left="0" w:right="0" w:firstLine="0"/>
        <w:jc w:val="both"/>
      </w:pPr>
      <w:r>
        <w:rPr>
          <w:rStyle w:val="CharStyle12"/>
        </w:rPr>
        <w:t>административном правонарушении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Решение может быть обжаловано в суде (Арбитражном суде г. Москвы) в порядке, установленном гл. </w:t>
      </w:r>
      <w:r>
        <w:rPr>
          <w:rStyle w:val="CharStyle12"/>
          <w:lang w:val="en-US" w:eastAsia="en-US"/>
        </w:rPr>
        <w:t xml:space="preserve">24 </w:t>
      </w:r>
      <w:r>
        <w:rPr>
          <w:rStyle w:val="CharStyle12"/>
        </w:rPr>
        <w:t xml:space="preserve">АПК РФ, в течение </w:t>
      </w:r>
      <w:r>
        <w:rPr>
          <w:rStyle w:val="CharStyle12"/>
          <w:lang w:val="en-US" w:eastAsia="en-US"/>
        </w:rPr>
        <w:t xml:space="preserve">3 </w:t>
      </w:r>
      <w:r>
        <w:rPr>
          <w:rStyle w:val="CharStyle12"/>
        </w:rPr>
        <w:t>(трех) месяцев с даты его принятия.</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32" w:bottom="1248" w:left="1106" w:header="0" w:footer="3" w:gutter="0"/>
          <w:cols w:space="720"/>
          <w:noEndnote/>
          <w:rtlGutter w:val="0"/>
          <w:docGrid w:linePitch="360"/>
        </w:sectPr>
      </w:pPr>
      <w:r>
        <mc:AlternateContent>
          <mc:Choice Requires="wps">
            <w:drawing>
              <wp:anchor distT="127000" distB="341630" distL="0" distR="0" simplePos="0" relativeHeight="125829380" behindDoc="0" locked="0" layoutInCell="1" allowOverlap="1">
                <wp:simplePos x="0" y="0"/>
                <wp:positionH relativeFrom="page">
                  <wp:posOffset>739140</wp:posOffset>
                </wp:positionH>
                <wp:positionV relativeFrom="paragraph">
                  <wp:posOffset>127000</wp:posOffset>
                </wp:positionV>
                <wp:extent cx="1844040" cy="252730"/>
                <wp:wrapTopAndBottom/>
                <wp:docPr id="18" name="Shape 18"/>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4" type="#_x0000_t202" style="position:absolute;margin-left:58.200000000000003pt;margin-top:10.pt;width:145.20000000000002pt;height:19.900000000000002pt;z-index:-125829373;mso-wrap-distance-left:0;mso-wrap-distance-top:10.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96850" distB="0" distL="0" distR="1786255" simplePos="0" relativeHeight="125829382" behindDoc="0" locked="0" layoutInCell="1" allowOverlap="1">
            <wp:simplePos x="0" y="0"/>
            <wp:positionH relativeFrom="page">
              <wp:posOffset>3107690</wp:posOffset>
            </wp:positionH>
            <wp:positionV relativeFrom="paragraph">
              <wp:posOffset>196850</wp:posOffset>
            </wp:positionV>
            <wp:extent cx="359410" cy="52451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605155</wp:posOffset>
                </wp:positionV>
                <wp:extent cx="1283335" cy="100330"/>
                <wp:wrapNone/>
                <wp:docPr id="22" name="Shape 2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80.94999999999999pt;margin-top:47.649999999999999pt;width:101.0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3525520</wp:posOffset>
                </wp:positionH>
                <wp:positionV relativeFrom="paragraph">
                  <wp:posOffset>288290</wp:posOffset>
                </wp:positionV>
                <wp:extent cx="1725295" cy="259080"/>
                <wp:wrapNone/>
                <wp:docPr id="24" name="Shape 24"/>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60000000000002pt;margin-top:22.699999999999999pt;width:135.84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87960" distB="283210" distL="0" distR="0" simplePos="0" relativeHeight="125829383" behindDoc="0" locked="0" layoutInCell="1" allowOverlap="1">
                <wp:simplePos x="0" y="0"/>
                <wp:positionH relativeFrom="page">
                  <wp:posOffset>5908675</wp:posOffset>
                </wp:positionH>
                <wp:positionV relativeFrom="paragraph">
                  <wp:posOffset>187960</wp:posOffset>
                </wp:positionV>
                <wp:extent cx="1307465" cy="250190"/>
                <wp:wrapTopAndBottom/>
                <wp:docPr id="26" name="Shape 26"/>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2" type="#_x0000_t202" style="position:absolute;margin-left:465.25pt;margin-top:14.800000000000001pt;width:102.95pt;height:19.699999999999999pt;z-index:-125829370;mso-wrap-distance-left:0;mso-wrap-distance-top:14.800000000000001pt;mso-wrap-distance-right:0;mso-wrap-distance-bottom:22.3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380" w:line="240" w:lineRule="auto"/>
        <w:ind w:right="0" w:firstLine="0"/>
        <w:jc w:val="left"/>
      </w:pPr>
      <w:r>
        <w:rPr>
          <w:rStyle w:val="CharStyle22"/>
        </w:rPr>
        <w:t xml:space="preserve">Действителен с 19.05.2025 </w:t>
      </w:r>
      <w:r>
        <w:rPr>
          <w:rStyle w:val="CharStyle22"/>
          <w:color w:val="555555"/>
        </w:rPr>
        <w:t xml:space="preserve">по </w:t>
      </w:r>
      <w:r>
        <w:rPr>
          <w:rStyle w:val="CharStyle22"/>
        </w:rPr>
        <w:t>12.08.2026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880"/>
        <w:jc w:val="lef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63500</wp:posOffset>
            </wp:positionV>
            <wp:extent cx="359410" cy="51816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466090</wp:posOffset>
                </wp:positionV>
                <wp:extent cx="1283335" cy="100330"/>
                <wp:wrapNone/>
                <wp:docPr id="30" name="Shape 3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80.90000000000003pt;margin-top:36.700000000000003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Е.Д. Мартьянова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Мартьянова Елена Дмитриевна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009EC19D0AD083DC593EE489E44F6A415</w:t>
      </w:r>
      <w:r>
        <w:rPr>
          <w:rStyle w:val="CharStyle22"/>
          <w:lang w:val="en-US" w:eastAsia="en-US"/>
        </w:rPr>
        <w:t>7</w:t>
      </w:r>
    </w:p>
    <w:p>
      <w:pPr>
        <w:pStyle w:val="Style21"/>
        <w:keepNext w:val="0"/>
        <w:keepLines w:val="0"/>
        <w:widowControl w:val="0"/>
        <w:shd w:val="clear" w:color="auto" w:fill="auto"/>
        <w:bidi w:val="0"/>
        <w:spacing w:before="0" w:after="280" w:line="240" w:lineRule="auto"/>
        <w:ind w:right="0" w:firstLine="0"/>
        <w:jc w:val="left"/>
      </w:pPr>
      <w:r>
        <w:rPr>
          <w:rStyle w:val="CharStyle22"/>
        </w:rPr>
        <w:t xml:space="preserve">Действителен с 21.01.2025 </w:t>
      </w:r>
      <w:r>
        <w:rPr>
          <w:rStyle w:val="CharStyle22"/>
          <w:color w:val="555555"/>
        </w:rPr>
        <w:t xml:space="preserve">по </w:t>
      </w:r>
      <w:r>
        <w:rPr>
          <w:rStyle w:val="CharStyle22"/>
        </w:rPr>
        <w:t>16.04.2026</w:t>
      </w:r>
    </w:p>
    <w:p>
      <w:pPr>
        <w:pStyle w:val="Style11"/>
        <w:keepNext w:val="0"/>
        <w:keepLines w:val="0"/>
        <w:widowControl w:val="0"/>
        <w:shd w:val="clear" w:color="auto" w:fill="auto"/>
        <w:bidi w:val="0"/>
        <w:spacing w:before="0" w:after="370" w:line="240" w:lineRule="auto"/>
        <w:ind w:left="0" w:right="0" w:firstLine="880"/>
        <w:jc w:val="left"/>
      </w:pPr>
      <w:r>
        <w:drawing>
          <wp:anchor distT="0" distB="0" distL="114300" distR="1900555" simplePos="0" relativeHeight="125829386" behindDoc="0" locked="0" layoutInCell="1" allowOverlap="1">
            <wp:simplePos x="0" y="0"/>
            <wp:positionH relativeFrom="page">
              <wp:posOffset>3107055</wp:posOffset>
            </wp:positionH>
            <wp:positionV relativeFrom="paragraph">
              <wp:posOffset>63500</wp:posOffset>
            </wp:positionV>
            <wp:extent cx="359410" cy="39624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151765</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75pt;margin-top:11.950000000000001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М.В. Сорбучева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7"/>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w:t>
      </w:r>
      <w:r>
        <w:rPr>
          <w:rStyle w:val="CharStyle22"/>
          <w:color w:val="555555"/>
        </w:rPr>
        <w:t xml:space="preserve">выдан: </w:t>
      </w:r>
      <w:r>
        <w:rPr>
          <w:rStyle w:val="CharStyle22"/>
          <w:color w:val="000000"/>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00F3B71218F970424B4D41C7997434F304</w:t>
      </w:r>
    </w:p>
    <w:p>
      <w:pPr>
        <w:pStyle w:val="Style21"/>
        <w:keepNext w:val="0"/>
        <w:keepLines w:val="0"/>
        <w:widowControl w:val="0"/>
        <w:shd w:val="clear" w:color="auto" w:fill="auto"/>
        <w:bidi w:val="0"/>
        <w:spacing w:before="0" w:after="1300" w:line="240" w:lineRule="auto"/>
        <w:ind w:right="0" w:firstLine="0"/>
        <w:jc w:val="left"/>
      </w:pPr>
      <w:r>
        <w:rPr>
          <w:rStyle w:val="CharStyle22"/>
        </w:rPr>
        <w:t xml:space="preserve">Действителен с 19.09.2024 </w:t>
      </w:r>
      <w:r>
        <w:rPr>
          <w:rStyle w:val="CharStyle22"/>
          <w:color w:val="555555"/>
        </w:rPr>
        <w:t>по 13.12.2025</w:t>
      </w:r>
    </w:p>
    <w:p>
      <w:pPr>
        <w:pStyle w:val="Style28"/>
        <w:keepNext w:val="0"/>
        <w:keepLines w:val="0"/>
        <w:widowControl w:val="0"/>
        <w:shd w:val="clear" w:color="auto" w:fill="auto"/>
        <w:bidi w:val="0"/>
        <w:spacing w:before="0" w:line="240" w:lineRule="auto"/>
        <w:ind w:left="0" w:right="0" w:firstLine="0"/>
        <w:jc w:val="left"/>
      </w:pPr>
      <w:r>
        <w:rPr>
          <w:rStyle w:val="CharStyle29"/>
        </w:rPr>
        <w:t>Исп.Мартьянова Е.Д тел.(495)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9455" cy="103505"/>
              <wp:wrapNone/>
              <wp:docPr id="4" name="Shape 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2025-40985</w:t>
                          </w:r>
                        </w:p>
                      </w:txbxContent>
                    </wps:txbx>
                    <wps:bodyPr wrap="none" lIns="0" tIns="0" rIns="0" bIns="0">
                      <a:spAutoFit/>
                    </wps:bodyPr>
                  </wps:wsp>
                </a:graphicData>
              </a:graphic>
            </wp:anchor>
          </w:drawing>
        </mc:Choice>
        <mc:Fallback>
          <w:pict>
            <v:shape id="_x0000_s1030" type="#_x0000_t202" style="position:absolute;margin-left:57.pt;margin-top:804.5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2025-40985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8" name="Shape 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2025-40985</w:t>
                          </w:r>
                        </w:p>
                      </w:txbxContent>
                    </wps:txbx>
                    <wps:bodyPr wrap="none" lIns="0" tIns="0" rIns="0" bIns="0">
                      <a:spAutoFit/>
                    </wps:bodyPr>
                  </wps:wsp>
                </a:graphicData>
              </a:graphic>
            </wp:anchor>
          </w:drawing>
        </mc:Choice>
        <mc:Fallback>
          <w:pict>
            <v:shape id="_x0000_s1034"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2025-40985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3505"/>
              <wp:wrapNone/>
              <wp:docPr id="16" name="Shape 16"/>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2025-40985</w:t>
                          </w:r>
                        </w:p>
                      </w:txbxContent>
                    </wps:txbx>
                    <wps:bodyPr wrap="none" lIns="0" tIns="0" rIns="0" bIns="0">
                      <a:spAutoFit/>
                    </wps:bodyPr>
                  </wps:wsp>
                </a:graphicData>
              </a:graphic>
            </wp:anchor>
          </w:drawing>
        </mc:Choice>
        <mc:Fallback>
          <w:pict>
            <v:shape id="_x0000_s1042" type="#_x0000_t202" style="position:absolute;margin-left:57.200000000000003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2025-40985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205740</wp:posOffset>
              </wp:positionV>
              <wp:extent cx="76200" cy="103505"/>
              <wp:wrapNone/>
              <wp:docPr id="2" name="Shape 2"/>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16.199999999999999pt;width:6.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473075</wp:posOffset>
              </wp:positionV>
              <wp:extent cx="33655" cy="106680"/>
              <wp:wrapNone/>
              <wp:docPr id="6" name="Shape 6"/>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2" type="#_x0000_t202" style="position:absolute;margin-left:309.19999999999999pt;margin-top:37.25pt;width:2.649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3927475</wp:posOffset>
              </wp:positionH>
              <wp:positionV relativeFrom="page">
                <wp:posOffset>205740</wp:posOffset>
              </wp:positionV>
              <wp:extent cx="76200" cy="103505"/>
              <wp:wrapNone/>
              <wp:docPr id="10" name="Shape 10"/>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25pt;margin-top:16.199999999999999pt;width:6.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473075</wp:posOffset>
              </wp:positionV>
              <wp:extent cx="33655" cy="106680"/>
              <wp:wrapNone/>
              <wp:docPr id="14" name="Shape 14"/>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9.19999999999999pt;margin-top:37.25pt;width:2.6499999999999999pt;height:8.4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50"/>
      <w:szCs w:val="50"/>
      <w:u w:val="none"/>
      <w:lang w:val="en-US" w:eastAsia="en-US"/>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04040"/>
      <w:sz w:val="12"/>
      <w:szCs w:val="12"/>
      <w:u w:val="none"/>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ing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820"/>
    </w:pPr>
    <w:rPr>
      <w:rFonts w:ascii="Arial" w:eastAsia="Arial" w:hAnsi="Arial" w:cs="Arial"/>
      <w:b w:val="0"/>
      <w:bCs w:val="0"/>
      <w:i w:val="0"/>
      <w:iCs w:val="0"/>
      <w:smallCaps w:val="0"/>
      <w:strike w:val="0"/>
      <w:color w:val="404040"/>
      <w:sz w:val="12"/>
      <w:szCs w:val="12"/>
      <w:u w:val="none"/>
    </w:rPr>
  </w:style>
  <w:style w:type="paragraph" w:customStyle="1" w:styleId="Style26">
    <w:name w:val="Body text (5)"/>
    <w:basedOn w:val="Normal"/>
    <w:link w:val="CharStyle27"/>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4)"/>
    <w:basedOn w:val="Normal"/>
    <w:link w:val="CharStyle29"/>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