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0.09.2025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НК/3434/2</w:t>
      </w:r>
      <w:r>
        <w:rPr>
          <w:rStyle w:val="CharStyle11"/>
        </w:rPr>
        <w:t>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Комитет по конкурентной политике 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rStyle w:val="CharStyle15"/>
          <w:lang w:val="en-US" w:eastAsia="en-US"/>
        </w:rPr>
        <w:t>goszakaz@gov-murman.ru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5"/>
        </w:rPr>
        <w:t xml:space="preserve">ООО "СЕЛЬХОЗПРОДУКТ" </w:t>
      </w:r>
      <w:r>
        <w:fldChar w:fldCharType="begin"/>
      </w:r>
      <w:r>
        <w:rPr/>
        <w:instrText> HYPERLINK "mailto:selhozproduktmur@mail.ru" </w:instrText>
      </w:r>
      <w:r>
        <w:fldChar w:fldCharType="separate"/>
      </w:r>
      <w:r>
        <w:rPr>
          <w:rStyle w:val="CharStyle15"/>
          <w:lang w:val="en-US" w:eastAsia="en-US"/>
        </w:rPr>
        <w:t>selhozproduktmur@mail.ru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162" w:right="1087" w:bottom="938" w:left="1135" w:header="734" w:footer="3" w:gutter="0"/>
          <w:pgNumType w:start="1"/>
          <w:cols w:num="2" w:space="720" w:equalWidth="0">
            <w:col w:w="4205" w:space="782"/>
            <w:col w:w="4690"/>
          </w:cols>
          <w:noEndnote/>
          <w:rtlGutter w:val="0"/>
          <w:docGrid w:linePitch="360"/>
        </w:sectPr>
      </w:pPr>
      <w:r>
        <w:rPr>
          <w:rStyle w:val="CharStyle15"/>
        </w:rPr>
        <w:t xml:space="preserve">Государственное областное бюджетное учреждение здравоохранения «Кольская центральная районная больница» </w:t>
      </w:r>
      <w:r>
        <w:fldChar w:fldCharType="begin"/>
      </w:r>
      <w:r>
        <w:rPr/>
        <w:instrText> HYPERLINK "mailto:ekonom_kcrb@mail.ru" </w:instrText>
      </w:r>
      <w:r>
        <w:fldChar w:fldCharType="separate"/>
      </w:r>
      <w:r>
        <w:rPr>
          <w:rStyle w:val="CharStyle15"/>
          <w:lang w:val="en-US" w:eastAsia="en-US"/>
        </w:rPr>
        <w:t>ekonom_kcrb@mail.ru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fldChar w:fldCharType="begin"/>
      </w:r>
      <w:r>
        <w:rPr/>
        <w:instrText> HYPERLINK "mailto:mail@kolacrb.ru" </w:instrText>
      </w:r>
      <w:r>
        <w:fldChar w:fldCharType="separate"/>
      </w:r>
      <w:r>
        <w:rPr>
          <w:rStyle w:val="CharStyle15"/>
          <w:lang w:val="en-US" w:eastAsia="en-US"/>
        </w:rPr>
        <w:t>mail@kolacrb.ru</w:t>
      </w:r>
      <w:r>
        <w:fldChar w:fldCharType="end"/>
      </w: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5247005</wp:posOffset>
                </wp:positionH>
                <wp:positionV relativeFrom="paragraph">
                  <wp:posOffset>571500</wp:posOffset>
                </wp:positionV>
                <wp:extent cx="1231265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126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город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13.15000000000003pt;margin-top:45.pt;width:96.950000000000003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город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РЕШЕНИЕ</w:t>
        <w:br/>
        <w:t>по делу № 051/06/106-541/2025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5"/>
        </w:rPr>
        <w:t>05 сентября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Комиссия по контролю в сфере закупок товаров, работ, услуг для обеспечения государственных и муниципальных нужд Управления Федеральной антимонопольной службы по Мурманской области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Председателя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Калитиной Н.А. - заместителя руководителя Управления Федеральной антимонопольной службы по Мурманской области,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Членов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Прохоровой М.Е. – начальника отдела контроля торгов Управления Федеральной антимонопольной службы по Мурманской области,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Конох А.А. – специалиста-эксперта отдела контроля торгов Управления Федеральной антимонопольной службы по Мурманской области,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при участии представителей (по доверенности):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Комитета по конкурентной политике Мурманской области – Гусевой К.Е.;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0"/>
        <w:jc w:val="both"/>
      </w:pPr>
      <w:r>
        <w:rPr>
          <w:rStyle w:val="CharStyle15"/>
        </w:rPr>
        <w:t>общества с ограниченной ответственностью «Сельхозпродукт» Дунаевой Т.М. без участия: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5"/>
        </w:rPr>
        <w:t>государственного областного бюджетного учреждения здравоохранения «Кольская центральная районная больница».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rStyle w:val="CharStyle15"/>
        </w:rPr>
        <w:t>рассмотрев жалобу общества с ограниченной ответственностью «Сельхозпродукт» (далее – Заявитель, ООО «Сельхозпродукт») на действия комиссии по осуществлению закупок Комитета по конкурентной политике Мурманской области при проведении электронного аукциона на поставку фруктов свежих (реестровый номер закупки 0149200002325004785), в соответствии со статьёй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829" w:bottom="938" w:left="109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7"/>
        </w:rPr>
        <w:t>1IIIIIIIIIIIIIIIIIIIIII]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320" w:after="280" w:line="240" w:lineRule="auto"/>
        <w:ind w:left="0" w:right="0" w:firstLine="0"/>
        <w:jc w:val="center"/>
      </w:pPr>
      <w:r>
        <w:rPr>
          <w:rStyle w:val="CharStyle15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lang w:val="en-US" w:eastAsia="en-US"/>
        </w:rPr>
        <w:t xml:space="preserve">21.08.2025 </w:t>
      </w:r>
      <w:r>
        <w:rPr>
          <w:rStyle w:val="CharStyle15"/>
        </w:rPr>
        <w:t xml:space="preserve">в единой информационной системе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ЕИС) Комитетом по конкурентной политике Мурманской области размещено извещение о проведении электронного аукциона на поставку фруктов свежих.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Уполномоченный орган: Комитет по конкурентной политике Мурманской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Заказчик: Государственное областное бюджетное учреждение здравоохранения "Кольская центральная районная больница.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Наименование аукциона: поставка фруктов свежих.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Начальная (максимальная) цена договора/контракта: </w:t>
      </w:r>
      <w:r>
        <w:rPr>
          <w:rStyle w:val="CharStyle15"/>
          <w:lang w:val="en-US" w:eastAsia="en-US"/>
        </w:rPr>
        <w:t xml:space="preserve">519 137,50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доводам жалобы, у Заявителя есть основания полагать, что заявки были рассмотрены комиссией по осуществлению закупок ненадлежащим образом. По мнению общества с ограниченной ответственностью «Сельхозпродкт», к победителю аукциона неправомерно применено преимущество в соответствии с положениями Постановления Правительства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ПП </w:t>
      </w:r>
      <w:r>
        <w:rPr>
          <w:rStyle w:val="CharStyle15"/>
          <w:lang w:val="en-US" w:eastAsia="en-US"/>
        </w:rPr>
        <w:t>№ 1875).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Комитет по конкурентной политике Мурманской области с доводами жалобы не согласился, предоставил устные и письменные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Рассмотрение жалобы начато </w:t>
      </w:r>
      <w:r>
        <w:rPr>
          <w:rStyle w:val="CharStyle15"/>
          <w:lang w:val="en-US" w:eastAsia="en-US"/>
        </w:rPr>
        <w:t xml:space="preserve">04.09.2025 </w:t>
      </w:r>
      <w:r>
        <w:rPr>
          <w:rStyle w:val="CharStyle15"/>
        </w:rPr>
        <w:t xml:space="preserve">и продолжено после перерыва </w:t>
      </w:r>
      <w:r>
        <w:rPr>
          <w:rStyle w:val="CharStyle15"/>
          <w:lang w:val="en-US" w:eastAsia="en-US"/>
        </w:rPr>
        <w:t xml:space="preserve">05.09.2025 </w:t>
      </w:r>
      <w:r>
        <w:rPr>
          <w:rStyle w:val="CharStyle15"/>
        </w:rPr>
        <w:t>посредством сервиса веб-видеоконференцсвязи.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Комиссия Мурманского </w:t>
      </w:r>
      <w:r>
        <w:rPr>
          <w:rStyle w:val="CharStyle15"/>
          <w:lang w:val="en-US" w:eastAsia="en-US"/>
        </w:rPr>
        <w:t xml:space="preserve">УФАC </w:t>
      </w:r>
      <w:r>
        <w:rPr>
          <w:rStyle w:val="CharStyle15"/>
        </w:rPr>
        <w:t>России проверила обоснованность действий комиссии по осуществлению закупок 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пунктами </w:t>
      </w:r>
      <w:r>
        <w:rPr>
          <w:rStyle w:val="CharStyle15"/>
          <w:lang w:val="en-US" w:eastAsia="en-US"/>
        </w:rPr>
        <w:t xml:space="preserve">1, 3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извещение об осуществлении закупки должно содержать следующие информацию и документы: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57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требования к содержанию, составу заявки на участие в закупке в соответствии с Законодательством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должно содержать </w:t>
      </w:r>
      <w:r>
        <w:rPr>
          <w:rStyle w:val="CharStyle15"/>
          <w:i/>
          <w:iCs/>
        </w:rPr>
        <w:t>показатели</w:t>
      </w:r>
      <w:r>
        <w:rPr>
          <w:rStyle w:val="CharStyle15"/>
        </w:rPr>
        <w:t>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Описанием объекта закупки, являющимся неотъемлемой частью Извещения, Заказчиком установлены требования к техническим, функциональным, качественным характеристикам и эксплуатационным характеристикам (потребительским свойствам) товара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при формировании предложения участника закупки в отношении объекта закупки заявка на участие в закупке должна содержать информацию </w:t>
      </w:r>
      <w:r>
        <w:rPr>
          <w:rStyle w:val="CharStyle15"/>
          <w:i/>
          <w:iCs/>
        </w:rPr>
        <w:t xml:space="preserve">о характеристиках </w:t>
      </w:r>
      <w:r>
        <w:rPr>
          <w:rStyle w:val="CharStyle15"/>
        </w:rPr>
        <w:t xml:space="preserve">предлагаемого участником закупки товара, соответствующих </w:t>
      </w:r>
      <w:r>
        <w:rPr>
          <w:rStyle w:val="CharStyle15"/>
          <w:i/>
          <w:iCs/>
        </w:rPr>
        <w:t xml:space="preserve">показателям </w:t>
      </w:r>
      <w:r>
        <w:rPr>
          <w:rStyle w:val="CharStyle15"/>
        </w:rPr>
        <w:t xml:space="preserve">установленным в описании объекта закупки 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Перечень документов и сведений, которые должны быть представлены в составе заявки содержатся в электронном документе «Требования к содержанию и составу заявки»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Исходя из положений, установленных Законом о контрактной системе и Требованиями, Комиссия по осуществлению закупок при рассмотрении заявок участников Аукциона </w:t>
      </w:r>
      <w:r>
        <w:rPr>
          <w:rStyle w:val="CharStyle15"/>
          <w:i/>
          <w:iCs/>
        </w:rPr>
        <w:t>обязана</w:t>
      </w:r>
      <w:r>
        <w:rPr>
          <w:rStyle w:val="CharStyle15"/>
        </w:rPr>
        <w:t xml:space="preserve"> рассмотреть информацию и документы, направляемые оператором электронной площадки и включаемые участниками закупки самостоятельно в соответствии с пунктами </w:t>
      </w:r>
      <w:r>
        <w:rPr>
          <w:rStyle w:val="CharStyle15"/>
          <w:lang w:val="en-US" w:eastAsia="en-US"/>
        </w:rPr>
        <w:t xml:space="preserve">1-3 </w:t>
      </w:r>
      <w:r>
        <w:rPr>
          <w:rStyle w:val="CharStyle15"/>
        </w:rPr>
        <w:t xml:space="preserve">раздела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Требований.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о контрактной системе установлено, что требовать от участника закупки представления иных информации и документов, за исключением предусмотренных частями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>Закона о контрактной системе не допускается.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указанной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>указанной статьи, положения указанной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установлено, что Правительство Российской Федерации: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) </w:t>
      </w:r>
      <w:r>
        <w:rPr>
          <w:rStyle w:val="CharStyle15"/>
        </w:rPr>
        <w:t xml:space="preserve">вправе с учетом положений части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указанной статьи принимать меры, устанавливающие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иностранными лицами;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 оказываемых российскими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) </w:t>
      </w:r>
      <w:r>
        <w:rPr>
          <w:rStyle w:val="CharStyle15"/>
        </w:rPr>
        <w:t xml:space="preserve"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указанной статьи.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рамках 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о контрактной системе принято Постановление Правительства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ПП </w:t>
      </w:r>
      <w:r>
        <w:rPr>
          <w:rStyle w:val="CharStyle15"/>
          <w:lang w:val="en-US" w:eastAsia="en-US"/>
        </w:rPr>
        <w:t>№1875).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установлено, что при осуществлении закупок в соответствии с Законом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и закупок в соответствии с Федеральным законом «О закупках товаров, работ, услуг отдельными видами юридических лиц» устанавливается: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иностранные лица), по перечню согласно приложению </w:t>
      </w:r>
      <w:r>
        <w:rPr>
          <w:rStyle w:val="CharStyle15"/>
          <w:lang w:val="en-US" w:eastAsia="en-US"/>
        </w:rPr>
        <w:t xml:space="preserve">№ 1, </w:t>
      </w:r>
      <w:r>
        <w:rPr>
          <w:rStyle w:val="CharStyle15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>№ 2;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Комиссией Мурманского УФАС установлено что в извещении о проведении закупки заказчиком указана информация об объекте закупки (описание объекта закупки)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поставка фруктов свежих </w:t>
      </w:r>
      <w:r>
        <w:rPr>
          <w:rStyle w:val="CharStyle15"/>
          <w:lang w:val="en-US" w:eastAsia="en-US"/>
        </w:rPr>
        <w:t xml:space="preserve">(2 </w:t>
      </w:r>
      <w:r>
        <w:rPr>
          <w:rStyle w:val="CharStyle15"/>
        </w:rPr>
        <w:t>закупаемые позиции):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565" w:val="left"/>
        </w:tabs>
        <w:bidi w:val="0"/>
        <w:spacing w:before="0" w:after="0" w:line="240" w:lineRule="auto"/>
        <w:ind w:left="720" w:right="0" w:firstLine="0"/>
        <w:jc w:val="both"/>
      </w:pPr>
      <w:r>
        <w:rPr>
          <w:rStyle w:val="CharStyle15"/>
        </w:rPr>
        <w:t xml:space="preserve">Лимоны, код ОКПД2 </w:t>
      </w:r>
      <w:r>
        <w:rPr>
          <w:rStyle w:val="CharStyle15"/>
          <w:lang w:val="en-US" w:eastAsia="en-US"/>
        </w:rPr>
        <w:t xml:space="preserve">01.23.12.000 </w:t>
      </w:r>
      <w:r>
        <w:rPr>
          <w:rStyle w:val="CharStyle15"/>
        </w:rPr>
        <w:t xml:space="preserve">(код позиции КТРУ: </w:t>
      </w:r>
      <w:r>
        <w:rPr>
          <w:rStyle w:val="CharStyle15"/>
          <w:lang w:val="en-US" w:eastAsia="en-US"/>
        </w:rPr>
        <w:t>01.23.12.000</w:t>
        <w:softHyphen/>
        <w:t>00000003);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Яблоки, код ОКПД2 </w:t>
      </w:r>
      <w:r>
        <w:rPr>
          <w:rStyle w:val="CharStyle15"/>
          <w:lang w:val="en-US" w:eastAsia="en-US"/>
        </w:rPr>
        <w:t xml:space="preserve">01.24.10.000 </w:t>
      </w:r>
      <w:r>
        <w:rPr>
          <w:rStyle w:val="CharStyle15"/>
        </w:rPr>
        <w:t xml:space="preserve">(код позиции КТРУ: </w:t>
      </w:r>
      <w:r>
        <w:rPr>
          <w:rStyle w:val="CharStyle15"/>
          <w:lang w:val="en-US" w:eastAsia="en-US"/>
        </w:rPr>
        <w:t xml:space="preserve">01.24.10.000-00000001) </w:t>
      </w:r>
      <w:r>
        <w:rPr>
          <w:rStyle w:val="CharStyle15"/>
        </w:rPr>
        <w:t xml:space="preserve">соответствующий коду ОКПД </w:t>
      </w:r>
      <w:r>
        <w:rPr>
          <w:rStyle w:val="CharStyle15"/>
          <w:lang w:val="en-US" w:eastAsia="en-US"/>
        </w:rPr>
        <w:t>2 21.20.10.191.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Во исполнение положений 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в отношении закупаемых Заказчиком товаров установлено преимущество, предусмотренное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Постановления </w:t>
      </w:r>
      <w:r>
        <w:rPr>
          <w:rStyle w:val="CharStyle15"/>
          <w:lang w:val="en-US" w:eastAsia="en-US"/>
        </w:rPr>
        <w:t>№ 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Извещением (пунктом </w:t>
      </w:r>
      <w:r>
        <w:rPr>
          <w:rStyle w:val="CharStyle15"/>
          <w:lang w:val="en-US" w:eastAsia="en-US"/>
        </w:rPr>
        <w:t xml:space="preserve">2.4 </w:t>
      </w:r>
      <w:r>
        <w:rPr>
          <w:rStyle w:val="CharStyle15"/>
        </w:rPr>
        <w:t xml:space="preserve">Требований) в соответствии с положениями подпункта «з» пункта Постановления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 xml:space="preserve">установлено, что заявка на участие в Аукционе, </w:t>
      </w:r>
      <w:r>
        <w:rPr>
          <w:rStyle w:val="CharStyle15"/>
          <w:b/>
          <w:bCs/>
          <w:i/>
          <w:iCs/>
        </w:rPr>
        <w:t>должна содержать</w:t>
      </w:r>
      <w:r>
        <w:rPr>
          <w:rStyle w:val="CharStyle15"/>
        </w:rPr>
        <w:t>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«указание в заявке на участие в закупке наименования страны происхождения товара, такое указание осуществляется в соответствии с общероссийским классификатором, используемым для идентификации стран мира (пп. «б» п.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43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44-ФЗ):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5"/>
          <w:lang w:val="en-US" w:eastAsia="en-US"/>
        </w:rPr>
        <w:t xml:space="preserve">1 - 146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1 </w:t>
      </w:r>
      <w:r>
        <w:rPr>
          <w:rStyle w:val="CharStyle15"/>
        </w:rPr>
        <w:t xml:space="preserve">к указанному постановлению, позициях </w:t>
      </w:r>
      <w:r>
        <w:rPr>
          <w:rStyle w:val="CharStyle15"/>
          <w:lang w:val="en-US" w:eastAsia="en-US"/>
        </w:rPr>
        <w:t xml:space="preserve">1 - 433 </w:t>
      </w:r>
      <w:r>
        <w:rPr>
          <w:rStyle w:val="CharStyle15"/>
        </w:rPr>
        <w:t xml:space="preserve">приложения </w:t>
      </w:r>
      <w:r>
        <w:rPr>
          <w:rStyle w:val="CharStyle15"/>
          <w:lang w:val="en-US" w:eastAsia="en-US"/>
        </w:rPr>
        <w:t xml:space="preserve">№ 2 </w:t>
      </w:r>
      <w:r>
        <w:rPr>
          <w:rStyle w:val="CharStyle15"/>
        </w:rPr>
        <w:t>к указанному постановлению;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членов Евразийского экономического союза; принятыми в соответствии с частями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протоколом </w:t>
      </w:r>
      <w:r>
        <w:rPr>
          <w:rStyle w:val="CharStyle15"/>
          <w:lang w:val="en-US" w:eastAsia="en-US"/>
        </w:rPr>
        <w:t xml:space="preserve">№ 5248/25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 xml:space="preserve">подведения итогов определения поставщика (подрядчика, исполнителя) по закупке </w:t>
      </w:r>
      <w:r>
        <w:rPr>
          <w:rStyle w:val="CharStyle15"/>
          <w:lang w:val="en-US" w:eastAsia="en-US"/>
        </w:rPr>
        <w:t xml:space="preserve">№ 0149200002325004785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28.07.2025 </w:t>
      </w:r>
      <w:r>
        <w:rPr>
          <w:rStyle w:val="CharStyle15"/>
        </w:rPr>
        <w:t xml:space="preserve">на участие в электронном аукционе подано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>заявки, признанные соответствующими требованиям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Победителем аукциона признан участник закупки с идентификационным номером заявки </w:t>
      </w:r>
      <w:r>
        <w:rPr>
          <w:rStyle w:val="CharStyle15"/>
          <w:lang w:val="en-US" w:eastAsia="en-US"/>
        </w:rPr>
        <w:t xml:space="preserve">155 </w:t>
      </w:r>
      <w:r>
        <w:rPr>
          <w:rStyle w:val="CharStyle15"/>
        </w:rPr>
        <w:t xml:space="preserve">(ООО «Катюша») с ценовым предложением </w:t>
      </w:r>
      <w:r>
        <w:rPr>
          <w:rStyle w:val="CharStyle15"/>
          <w:i/>
          <w:iCs/>
          <w:lang w:val="en-US" w:eastAsia="en-US"/>
        </w:rPr>
        <w:t xml:space="preserve">519 137,50 </w:t>
      </w:r>
      <w:r>
        <w:rPr>
          <w:rStyle w:val="CharStyle15"/>
          <w:i/>
          <w:iCs/>
        </w:rPr>
        <w:t>руб. поскольку в составе заявки победителя</w:t>
      </w:r>
      <w:r>
        <w:rPr>
          <w:rStyle w:val="CharStyle15"/>
        </w:rPr>
        <w:t xml:space="preserve"> была указана информация о стране происхождения предлагаемых к поставке товаров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Российская Федерация.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Как было указано ранее, Заявитель полагает, что победитель закупки в составе заявки предоставил недостоверную информацию о стране происхождения лимонов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Российская Федерация. Следовательно, Комиссией по осуществлению закупок при рассмотрении заявок участников закупки преимущества для товаров, происходящих из иностранных государств, в соответствии с Постановлением </w:t>
      </w:r>
      <w:r>
        <w:rPr>
          <w:rStyle w:val="CharStyle15"/>
          <w:lang w:val="en-US" w:eastAsia="en-US"/>
        </w:rPr>
        <w:t xml:space="preserve">№ 1875 </w:t>
      </w:r>
      <w:r>
        <w:rPr>
          <w:rStyle w:val="CharStyle15"/>
        </w:rPr>
        <w:t>применены неправомерно.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 мнению Заявителя, заявка, содержащая недостоверную информацию должна быть отклонена в соответствии с пунктом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Вместе с тем по данному вопросу Комиссия Мурманского УФАС считает необходимым отметить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Подпунктом «а»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о контрактной системе установлено, что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49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44- </w:t>
      </w:r>
      <w:r>
        <w:rPr>
          <w:rStyle w:val="CharStyle15"/>
        </w:rPr>
        <w:t xml:space="preserve">ФЗ,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5"/>
          <w:lang w:val="en-US" w:eastAsia="en-US"/>
        </w:rPr>
        <w:t xml:space="preserve">1 - 8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Пунктами </w:t>
      </w:r>
      <w:r>
        <w:rPr>
          <w:rStyle w:val="CharStyle15"/>
          <w:lang w:val="en-US" w:eastAsia="en-US"/>
        </w:rPr>
        <w:t xml:space="preserve">1-8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>Закона о контрактной системе предусмотрен исчерпывающий перечень оснований для отклонения заявки участника закупки от участия в конкурентной процедуре.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48 </w:t>
      </w:r>
      <w:r>
        <w:rPr>
          <w:rStyle w:val="CharStyle15"/>
        </w:rPr>
        <w:t xml:space="preserve">Закона о контрактной системе заявка подлежит отклонению в случае </w:t>
      </w:r>
      <w:r>
        <w:rPr>
          <w:rStyle w:val="CharStyle15"/>
          <w:b/>
          <w:bCs/>
        </w:rPr>
        <w:t xml:space="preserve">выявления </w:t>
      </w:r>
      <w:r>
        <w:rPr>
          <w:rStyle w:val="CharStyle15"/>
        </w:rPr>
        <w:t>недостоверной информации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содержащейся в такой заявке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Согласно письму ФАС России от </w:t>
      </w:r>
      <w:r>
        <w:rPr>
          <w:rStyle w:val="CharStyle15"/>
          <w:lang w:val="en-US" w:eastAsia="en-US"/>
        </w:rPr>
        <w:t xml:space="preserve">20.08.2021 № </w:t>
      </w:r>
      <w:r>
        <w:rPr>
          <w:rStyle w:val="CharStyle15"/>
        </w:rPr>
        <w:t xml:space="preserve">ПИ/69938/21 </w:t>
      </w:r>
      <w:r>
        <w:rPr>
          <w:rStyle w:val="CharStyle15"/>
          <w:i/>
          <w:iCs/>
        </w:rPr>
        <w:t xml:space="preserve">«для отстранения участника закупки, недостоверность соответствующей информации </w:t>
      </w:r>
      <w:r>
        <w:rPr>
          <w:rStyle w:val="CharStyle15"/>
          <w:i/>
          <w:iCs/>
          <w:u w:val="single"/>
        </w:rPr>
        <w:t>должна быть подтверждена надлежащим образом</w:t>
      </w:r>
      <w:r>
        <w:rPr>
          <w:rStyle w:val="CharStyle15"/>
          <w:i/>
          <w:iCs/>
        </w:rPr>
        <w:t>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Аналогичные выводы содержатся: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постановлении Арбитражного суда Северо-Кавказского округа от </w:t>
      </w:r>
      <w:r>
        <w:rPr>
          <w:rStyle w:val="CharStyle15"/>
          <w:lang w:val="en-US" w:eastAsia="en-US"/>
        </w:rPr>
        <w:t xml:space="preserve">12.06.2024 № </w:t>
      </w:r>
      <w:r>
        <w:rPr>
          <w:rStyle w:val="CharStyle15"/>
        </w:rPr>
        <w:t xml:space="preserve">Ф08-4654/2024 по делу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А63-15194/2023: «</w:t>
      </w:r>
      <w:r>
        <w:rPr>
          <w:rStyle w:val="CharStyle15"/>
          <w:i/>
          <w:iCs/>
        </w:rPr>
        <w:t xml:space="preserve">Закон </w:t>
      </w:r>
      <w:r>
        <w:rPr>
          <w:rStyle w:val="CharStyle15"/>
          <w:i/>
          <w:iCs/>
          <w:lang w:val="en-US" w:eastAsia="en-US"/>
        </w:rPr>
        <w:t xml:space="preserve">№ </w:t>
      </w:r>
      <w:r>
        <w:rPr>
          <w:rStyle w:val="CharStyle15"/>
          <w:i/>
          <w:iCs/>
        </w:rPr>
        <w:t xml:space="preserve">44-ФЗ не возлагает на комиссию по осуществлению закупок каких-либо обязанностей, направленных на проверку достоверности (выявление недостоверности) представленных участником закупки информации и (или) документов в отношении предложенного товара. При этом расширительное толкование норм названного Закона недопустимо. При наличии достаточных оснований, явно свидетельствующих о недобросовестных действиях участника закупки, либо в случае получения информации о таких действиях, комиссия вправе проверить такую информацию и документы, и в случае получения официального подтверждения наличия недостоверности применить пункт </w:t>
      </w:r>
      <w:r>
        <w:rPr>
          <w:rStyle w:val="CharStyle15"/>
          <w:i/>
          <w:iCs/>
          <w:lang w:val="en-US" w:eastAsia="en-US"/>
        </w:rPr>
        <w:t xml:space="preserve">8 </w:t>
      </w:r>
      <w:r>
        <w:rPr>
          <w:rStyle w:val="CharStyle15"/>
          <w:i/>
          <w:iCs/>
        </w:rPr>
        <w:t xml:space="preserve">части </w:t>
      </w:r>
      <w:r>
        <w:rPr>
          <w:rStyle w:val="CharStyle15"/>
          <w:i/>
          <w:iCs/>
          <w:lang w:val="en-US" w:eastAsia="en-US"/>
        </w:rPr>
        <w:t xml:space="preserve">12 </w:t>
      </w:r>
      <w:r>
        <w:rPr>
          <w:rStyle w:val="CharStyle15"/>
          <w:i/>
          <w:iCs/>
        </w:rPr>
        <w:t xml:space="preserve">статьи </w:t>
      </w:r>
      <w:r>
        <w:rPr>
          <w:rStyle w:val="CharStyle15"/>
          <w:i/>
          <w:iCs/>
          <w:lang w:val="en-US" w:eastAsia="en-US"/>
        </w:rPr>
        <w:t xml:space="preserve">48 </w:t>
      </w:r>
      <w:r>
        <w:rPr>
          <w:rStyle w:val="CharStyle15"/>
          <w:i/>
          <w:iCs/>
        </w:rPr>
        <w:t xml:space="preserve">Закона </w:t>
      </w:r>
      <w:r>
        <w:rPr>
          <w:rStyle w:val="CharStyle15"/>
          <w:i/>
          <w:iCs/>
          <w:lang w:val="en-US" w:eastAsia="en-US"/>
        </w:rPr>
        <w:t xml:space="preserve">№ </w:t>
      </w:r>
      <w:r>
        <w:rPr>
          <w:rStyle w:val="CharStyle15"/>
          <w:i/>
          <w:iCs/>
        </w:rPr>
        <w:t>44-ФЗ»;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в постановлении Арбитражного суда Восточно-Сибирского округа от </w:t>
      </w:r>
      <w:r>
        <w:rPr>
          <w:rStyle w:val="CharStyle15"/>
          <w:lang w:val="en-US" w:eastAsia="en-US"/>
        </w:rPr>
        <w:t xml:space="preserve">01.07.2024 № </w:t>
      </w:r>
      <w:r>
        <w:rPr>
          <w:rStyle w:val="CharStyle15"/>
        </w:rPr>
        <w:t xml:space="preserve">Ф02-2725/2024 по делу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А58-8652/2023: «</w:t>
      </w:r>
      <w:r>
        <w:rPr>
          <w:rStyle w:val="CharStyle15"/>
          <w:i/>
          <w:iCs/>
        </w:rPr>
        <w:t xml:space="preserve">Предоставленное право отклонить поданную заявку в случае обнаружения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решения, причем располагать именно доказательствами такой недостоверности, </w:t>
      </w:r>
      <w:r>
        <w:rPr>
          <w:rStyle w:val="CharStyle15"/>
          <w:b/>
          <w:bCs/>
          <w:i/>
          <w:iCs/>
        </w:rPr>
        <w:t>а не руководствоваться предположениями</w:t>
      </w:r>
      <w:r>
        <w:rPr>
          <w:rStyle w:val="CharStyle15"/>
        </w:rPr>
        <w:t>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Таким образом, одним из оснований для отклонения заявки участника закупки является </w:t>
      </w:r>
      <w:r>
        <w:rPr>
          <w:rStyle w:val="CharStyle15"/>
          <w:b/>
          <w:bCs/>
        </w:rPr>
        <w:t xml:space="preserve">выявление </w:t>
      </w:r>
      <w:r>
        <w:rPr>
          <w:rStyle w:val="CharStyle15"/>
        </w:rPr>
        <w:t>недостоверной информации, содержащейся в заявке на участие в закупке. Отстранение участника закупки от участия в торгах допускается исключительно в очевидных и бесспорных случаях установления нарушения со стороны участника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Согласно пояснениям представителя Уполномоченного органа, подтвержденной надлежащим образом информации о недостоверности сведений, содержащихся в заявке участника Аукциона, в адрес Комитет представлено не было.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 xml:space="preserve">Кроме того, соответствие поставляемого победителем Аукциона товара требованиям, установленным в контракте (сформированном на основании информации, указанной в Извещении, и в заявке победителя Аукциона), </w:t>
      </w:r>
      <w:r>
        <w:rPr>
          <w:rStyle w:val="CharStyle15"/>
          <w:b/>
          <w:bCs/>
          <w:i/>
          <w:iCs/>
        </w:rPr>
        <w:t>будет определяться Заказчиком непосредственно при приёмке товара</w:t>
      </w:r>
      <w:r>
        <w:rPr>
          <w:rStyle w:val="CharStyle15"/>
        </w:rPr>
        <w:t>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Изучив ход проведения аукциона, заслушав пояснения представителей, Комиссия Мурманского УФАС приходит к выводу, что информация о характеристиках предлагаемых к поставке товаров полностью соответствовала требованиям, установленным в Извещении.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Таким образом, заявка участника закупки ООО «Катюша» полностью соответствует требованиям, установленным в Извещении, что свидетельствует о правомерном допуске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5"/>
        </w:rPr>
        <w:t>Комиссия по осуществлению закупок при рассмотрении заявок и определении победителя Аукциона действовала в пределах своих полномочий, правомерно признав заявку участника закупки ООО «Катюша» на участие в Аукционе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соответствующей требованиям Закона о контрактной системе и Извещения.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На основании изложенного, Комиссия Мурманского УФАС не усматривает нарушения Закона о контрактной системе в действиях комиссии по осуществлению закупок Комитета по конкурентной политике Мурманской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Мурманского УФАС России, руководствуясь статьями </w:t>
      </w:r>
      <w:r>
        <w:rPr>
          <w:rStyle w:val="CharStyle15"/>
          <w:lang w:val="en-US" w:eastAsia="en-US"/>
        </w:rPr>
        <w:t xml:space="preserve">99, 106 </w:t>
      </w:r>
      <w:r>
        <w:rPr>
          <w:rStyle w:val="CharStyle15"/>
        </w:rPr>
        <w:t>Закона о контрактной системе,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5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15"/>
        </w:rPr>
        <w:t xml:space="preserve">Жалобу общества с ограниченной ответственностью «Сельхозпродукт» на действия Комиссии по осуществлению закупок Комитета по конкурентной политике Мурманской области при проведении электронного аукциона на поставку фруктов свежих (реестровый номер закупки </w:t>
      </w:r>
      <w:r>
        <w:rPr>
          <w:rStyle w:val="CharStyle15"/>
          <w:lang w:val="en-US" w:eastAsia="en-US"/>
        </w:rPr>
        <w:t xml:space="preserve">0149200002325004785) </w:t>
      </w:r>
      <w:r>
        <w:rPr>
          <w:rStyle w:val="CharStyle15"/>
        </w:rPr>
        <w:t>признать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судебном порядке в течение трёх месяцев со дня его принятия.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083" w:right="808" w:bottom="1450" w:left="1085" w:header="655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43561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694815" cy="22860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8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7.pt;width:133.44999999999999pt;height:18.pt;z-index:-125829373;mso-wrap-distance-left:0;mso-wrap-distance-top:7.pt;mso-wrap-distance-right:0;mso-wrap-distance-bottom:34.3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2410" distB="0" distL="0" distR="1786255" simplePos="0" relativeHeight="125829382" behindDoc="0" locked="0" layoutInCell="1" allowOverlap="1">
            <wp:simplePos x="0" y="0"/>
            <wp:positionH relativeFrom="page">
              <wp:posOffset>2727325</wp:posOffset>
            </wp:positionH>
            <wp:positionV relativeFrom="paragraph">
              <wp:posOffset>232410</wp:posOffset>
            </wp:positionV>
            <wp:extent cx="359410" cy="52451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3190875</wp:posOffset>
                </wp:positionH>
                <wp:positionV relativeFrom="paragraph">
                  <wp:posOffset>637540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1.25pt;margin-top:50.20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3147695</wp:posOffset>
                </wp:positionH>
                <wp:positionV relativeFrom="paragraph">
                  <wp:posOffset>320675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7.84999999999999pt;margin-top:25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435610" distL="0" distR="0" simplePos="0" relativeHeight="125829383" behindDoc="0" locked="0" layoutInCell="1" allowOverlap="1">
                <wp:simplePos x="0" y="0"/>
                <wp:positionH relativeFrom="page">
                  <wp:posOffset>5937250</wp:posOffset>
                </wp:positionH>
                <wp:positionV relativeFrom="paragraph">
                  <wp:posOffset>88900</wp:posOffset>
                </wp:positionV>
                <wp:extent cx="107315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Н.А. Калитина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7.5pt;margin-top:7.pt;width:84.5pt;height:18.pt;z-index:-125829370;mso-wrap-distance-left:0;mso-wrap-distance-top:7.pt;mso-wrap-distance-right:0;mso-wrap-distance-bottom:34.3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Н.А. Калитина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Калитина Наталия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67330D7327B37318156A55FC0A95C725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left"/>
      </w:pPr>
      <w:r>
        <w:rPr>
          <w:rStyle w:val="CharStyle26"/>
        </w:rPr>
        <w:t>Действителен с 24.07.2024 по 17.10.2025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931035" simplePos="0" relativeHeight="125829385" behindDoc="0" locked="0" layoutInCell="1" allowOverlap="1">
            <wp:simplePos x="0" y="0"/>
            <wp:positionH relativeFrom="page">
              <wp:posOffset>2758440</wp:posOffset>
            </wp:positionH>
            <wp:positionV relativeFrom="paragraph">
              <wp:posOffset>203200</wp:posOffset>
            </wp:positionV>
            <wp:extent cx="298450" cy="34734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264160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7.70000000000002pt;margin-top:20.80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М.Е. Прохорова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0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Прохорова Маргарита Евгеньевна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38F74A9EFF579462616910A083D904F7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6"/>
        </w:rPr>
        <w:t xml:space="preserve">Действителен с 16.06.2025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09.09.2026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2727960</wp:posOffset>
            </wp:positionH>
            <wp:positionV relativeFrom="paragraph">
              <wp:posOffset>139700</wp:posOffset>
            </wp:positionV>
            <wp:extent cx="359410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3188335</wp:posOffset>
                </wp:positionH>
                <wp:positionV relativeFrom="paragraph">
                  <wp:posOffset>544830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1.05000000000001pt;margin-top:42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3145790</wp:posOffset>
                </wp:positionH>
                <wp:positionV relativeFrom="paragraph">
                  <wp:posOffset>227965</wp:posOffset>
                </wp:positionV>
                <wp:extent cx="1725295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7.70000000000002pt;margin-top:17.949999999999999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А.А. Конох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Конох Анна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0080763FA18243CF740C087F9AB6E0A42C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right="0" w:firstLine="0"/>
        <w:jc w:val="left"/>
      </w:pPr>
      <w:r>
        <w:rPr>
          <w:rStyle w:val="CharStyle26"/>
        </w:rPr>
        <w:t>Действителен с 06.1</w:t>
      </w:r>
      <w:r>
        <w:rPr>
          <w:rStyle w:val="CharStyle26"/>
          <w:color w:val="292929"/>
        </w:rPr>
        <w:t>1</w:t>
      </w:r>
      <w:r>
        <w:rPr>
          <w:rStyle w:val="CharStyle26"/>
        </w:rPr>
        <w:t xml:space="preserve">.2024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  <w:color w:val="292929"/>
        </w:rPr>
        <w:t>30.01</w:t>
      </w:r>
      <w:r>
        <w:rPr>
          <w:rStyle w:val="CharStyle26"/>
        </w:rPr>
        <w:t>.2026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Исп.Конох А.А.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тел.8(8152) 68-50-55 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824" w:bottom="135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10031730</wp:posOffset>
              </wp:positionV>
              <wp:extent cx="646430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2025-3897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9.89999999999998pt;width:50.8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2025-3897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9836150</wp:posOffset>
              </wp:positionV>
              <wp:extent cx="64643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2025-3897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50000000000001pt;margin-top:774.5pt;width:50.8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2025-3897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6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Body text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3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6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Body text (5)"/>
    <w:basedOn w:val="Normal"/>
    <w:link w:val="CharStyle3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