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77595" distR="1056005" simplePos="0" relativeHeight="125829378" behindDoc="0" locked="0" layoutInCell="1" allowOverlap="1">
            <wp:simplePos x="0" y="0"/>
            <wp:positionH relativeFrom="page">
              <wp:posOffset>1783080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819785</wp:posOffset>
                </wp:positionH>
                <wp:positionV relativeFrom="paragraph">
                  <wp:posOffset>622300</wp:posOffset>
                </wp:positionV>
                <wp:extent cx="24168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36326/25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549999999999997pt;margin-top:49.pt;width:190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0.09.2025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36326/25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140" w:right="0" w:firstLine="0"/>
        <w:jc w:val="both"/>
      </w:pPr>
      <w:r>
        <w:rPr>
          <w:rStyle w:val="CharStyle7"/>
        </w:rPr>
        <w:t>ГБУ «Гормост»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140" w:right="0" w:firstLine="0"/>
        <w:jc w:val="both"/>
      </w:pPr>
      <w:r>
        <w:fldChar w:fldCharType="begin"/>
      </w:r>
      <w:r>
        <w:rPr/>
        <w:instrText> HYPERLINK "mailto:torgi-gormost@dom.mos.ru" </w:instrText>
      </w:r>
      <w:r>
        <w:fldChar w:fldCharType="separate"/>
      </w:r>
      <w:r>
        <w:rPr>
          <w:rStyle w:val="CharStyle7"/>
          <w:lang w:val="en-US" w:eastAsia="en-US"/>
        </w:rPr>
        <w:t>torgi-gormost@dom.mos.ru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340" w:line="480" w:lineRule="auto"/>
        <w:ind w:left="1140" w:right="0" w:firstLine="0"/>
        <w:jc w:val="both"/>
      </w:pPr>
      <w:r>
        <w:rPr>
          <w:rStyle w:val="CharStyle7"/>
        </w:rPr>
        <w:t xml:space="preserve">ООО «Авангард» </w:t>
      </w:r>
      <w:r>
        <w:fldChar w:fldCharType="begin"/>
      </w:r>
      <w:r>
        <w:rPr/>
        <w:instrText> HYPERLINK "mailto:stasiss1980@gmail.com" </w:instrText>
      </w:r>
      <w:r>
        <w:fldChar w:fldCharType="separate"/>
      </w:r>
      <w:r>
        <w:rPr>
          <w:rStyle w:val="CharStyle7"/>
          <w:lang w:val="en-US" w:eastAsia="en-US"/>
        </w:rPr>
        <w:t>stasiss1980@gmail.com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077/06/106-11158/2025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05.09.2025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А.А. Леоновой,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видео- конференц 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ГБУ «Гормост»: В.А. Мигунова (по доверенности </w:t>
      </w:r>
      <w:r>
        <w:rPr>
          <w:rStyle w:val="CharStyle7"/>
          <w:lang w:val="en-US" w:eastAsia="en-US"/>
        </w:rPr>
        <w:t xml:space="preserve">№ 0138-017/25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03.02.2025),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отсутствие представителей ООО «Авангард», о времени и порядке заседания Комиссии Управления уведомленных надлежащим образом посредством размещения информации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drawing>
          <wp:anchor distT="88900" distB="0" distL="114300" distR="114300" simplePos="0" relativeHeight="125829381" behindDoc="0" locked="0" layoutInCell="1" allowOverlap="1">
            <wp:simplePos x="0" y="0"/>
            <wp:positionH relativeFrom="page">
              <wp:posOffset>715645</wp:posOffset>
            </wp:positionH>
            <wp:positionV relativeFrom="margin">
              <wp:posOffset>9091930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рассмотрев жалобу ООО «Авангард»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ГБУ «Гормост»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опрессовочных насосов (СМП и СОНО) (Закупка </w:t>
      </w:r>
      <w:r>
        <w:rPr>
          <w:rStyle w:val="CharStyle7"/>
          <w:lang w:val="en-US" w:eastAsia="en-US"/>
        </w:rPr>
        <w:t xml:space="preserve">№ 0373200557925000431)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электронный аукцион аукцион),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>44-ФЗ «О контрактной системе в сфере закупок товаров, работ, услуг для обеспечения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</w:pPr>
      <w:r>
        <w:rPr>
          <w:rStyle w:val="CharStyle7"/>
        </w:rPr>
        <w:t xml:space="preserve">государственных и муниципальных нужд»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П.1, п.2 ч.1 ст.33 Закона о контрактной системе установлено, что Заказчик в случаях, предусмотренных Законом о контрактной системе, при описании объекта закупки должен руководствоваться следующими правилами: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сопровождение такого указания словами «или эквивалент»;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440" w:line="240" w:lineRule="auto"/>
        <w:ind w:left="0" w:right="0" w:firstLine="700"/>
        <w:jc w:val="both"/>
      </w:pPr>
      <w:r>
        <w:rPr>
          <w:rStyle w:val="CharStyle7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составе жалобы Заявитель указывает, что установленные Заказчиком требования к товарам не позволяют должным образом определить потребность Заказчика, ввиду недостаточной детализации таких требований в описании объекта закупки, в отличии от данных Заказчиком разъяснений положений извещения. Таким образом, по мнению Заявителя, участникам закупки не представляется возможным сформировать заявку на участие в аукционе, ввиду чего, Заказчику надлежит дополнить описание объекта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Комиссией Управления установлено, что в извещении по п. «Пресс промышленный» установлены следующие характеристики: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«Тип оборудования: Прессы гидравлические»;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«Тип управления: Ручной».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106 </w:t>
      </w:r>
      <w:r>
        <w:rPr>
          <w:rStyle w:val="CharStyle7"/>
        </w:rPr>
        <w:t>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заседании Комиссии Управления представитель Заказчика пояснил, что описание объекта сформировано автоматически при выборе соответствующего СПГЗ.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Заявителем не представлено документов и сведений, подтверждающих обоснованность вышеуказанных доводов жалобы, в том числе в части невозможности подать заявку на участие в аукционе, об ограничении количества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участников закупки, а также свидетельствующих о нарушении Заказчиком норм Закона о контрактной системе. Ввиду чего у Комиссии Управления отсутствуют правовые основания считать Заказчика нарушившим требования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Комиссия Управления считает необходимым отметить, что к предложению к поставке возможны любые товары соответствующие установленным в описании объекта закупки характеристикам, следовательно, в данном случае потребность Заказчика обеспечит любой промышленный гидравлический пресс с ручным типом управления.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В свою очередь Комиссия Управления обращает особое внимание, что в соответствии с положениями ст.33 и ст.42 Закона о контрактной системе разъяснения положений извещения об осуществлении закупки не являются частью описания объекта закупки, что свидетельствует как об отсутствии обязанности участников закупки по ознакомлению с такими разъяснениями, так и об обязанности идентификации таких разъяснений как части описания объекта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На основании вышеизложенного Комиссия Управления приходит к выводу о необоснованности доводов жалобы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Одновременно с этим в ходе внеплановой проверки выявлено, что разъяснения положений извещения об осуществлении закупки размещены Заказчиком в нарушение положений Закона о контрактной системе, так как изменяют суть извещения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В соответствии с ч.5 ст.42 Закона о контрактной системе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 xml:space="preserve">Комиссией Управления установлено, что </w:t>
      </w:r>
      <w:r>
        <w:rPr>
          <w:rStyle w:val="CharStyle7"/>
          <w:lang w:val="en-US" w:eastAsia="en-US"/>
        </w:rPr>
        <w:t xml:space="preserve">01.09.2025 </w:t>
      </w:r>
      <w:r>
        <w:rPr>
          <w:rStyle w:val="CharStyle7"/>
        </w:rPr>
        <w:t>в единой информационной системе Заказчиком размещены разъяснения положений извещения об осуществлении закупки №РИ2 со следующим содержанием: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  <w:i/>
          <w:iCs/>
        </w:rPr>
        <w:t>«Просим предоставить детальные технические характеристики закупаемого гидравлического пресса, позволяющие однозначно идентифицировать товар, в частности: рабочее давление (номинальное и максимальное, в бар или МПа), производительность (л/мин), а также иные параметры, значимые для его эксплуатации по назначению.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  <w:i/>
          <w:iCs/>
        </w:rPr>
        <w:t>Ответ: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  <w:i/>
          <w:iCs/>
        </w:rPr>
        <w:t xml:space="preserve">Диапазон испытаний: </w:t>
      </w:r>
      <w:r>
        <w:rPr>
          <w:rStyle w:val="CharStyle7"/>
          <w:i/>
          <w:iCs/>
          <w:lang w:val="en-US" w:eastAsia="en-US"/>
        </w:rPr>
        <w:t xml:space="preserve">0 – 60 </w:t>
      </w:r>
      <w:r>
        <w:rPr>
          <w:rStyle w:val="CharStyle7"/>
          <w:i/>
          <w:iCs/>
        </w:rPr>
        <w:t xml:space="preserve">бар, деление шкалы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бар; </w:t>
      </w:r>
      <w:r>
        <w:rPr>
          <w:rStyle w:val="CharStyle7"/>
          <w:i/>
          <w:iCs/>
          <w:lang w:val="en-US" w:eastAsia="en-US"/>
        </w:rPr>
        <w:t xml:space="preserve">0 – 860 psi, </w:t>
      </w:r>
      <w:r>
        <w:rPr>
          <w:rStyle w:val="CharStyle7"/>
          <w:i/>
          <w:iCs/>
        </w:rPr>
        <w:t xml:space="preserve">деление шкалы </w:t>
      </w:r>
      <w:r>
        <w:rPr>
          <w:rStyle w:val="CharStyle7"/>
          <w:i/>
          <w:iCs/>
          <w:lang w:val="en-US" w:eastAsia="en-US"/>
        </w:rPr>
        <w:t xml:space="preserve">20 psi; 0 – 6 MPa, </w:t>
      </w:r>
      <w:r>
        <w:rPr>
          <w:rStyle w:val="CharStyle7"/>
          <w:i/>
          <w:iCs/>
        </w:rPr>
        <w:t xml:space="preserve">деление шкалы </w:t>
      </w:r>
      <w:r>
        <w:rPr>
          <w:rStyle w:val="CharStyle7"/>
          <w:i/>
          <w:iCs/>
          <w:lang w:val="en-US" w:eastAsia="en-US"/>
        </w:rPr>
        <w:t>0,1 MPa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  <w:i/>
          <w:iCs/>
        </w:rPr>
        <w:t xml:space="preserve">Производительность </w:t>
      </w:r>
      <w:r>
        <w:rPr>
          <w:rStyle w:val="CharStyle7"/>
          <w:i/>
          <w:iCs/>
          <w:lang w:val="en-US" w:eastAsia="en-US"/>
        </w:rPr>
        <w:t xml:space="preserve">0.045 </w:t>
      </w:r>
      <w:r>
        <w:rPr>
          <w:rStyle w:val="CharStyle7"/>
          <w:i/>
          <w:iCs/>
        </w:rPr>
        <w:t>л/мин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  <w:i/>
          <w:iCs/>
        </w:rPr>
        <w:t>Ручной опрессовщик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  <w:i/>
          <w:iCs/>
        </w:rPr>
        <w:t xml:space="preserve">Ротор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>сухой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  <w:i/>
          <w:iCs/>
        </w:rPr>
        <w:t xml:space="preserve">Соединение к трубопроводу </w:t>
      </w:r>
      <w:r>
        <w:rPr>
          <w:rStyle w:val="CharStyle7"/>
          <w:i/>
          <w:iCs/>
          <w:lang w:val="en-US" w:eastAsia="en-US"/>
        </w:rPr>
        <w:t>- G1/2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  <w:i/>
          <w:iCs/>
        </w:rPr>
        <w:t xml:space="preserve">Рабочая жидкость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>вода, масло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  <w:i/>
          <w:iCs/>
        </w:rPr>
        <w:t xml:space="preserve">Мах температура жидкости </w:t>
      </w:r>
      <w:r>
        <w:rPr>
          <w:rStyle w:val="CharStyle7"/>
          <w:i/>
          <w:iCs/>
          <w:lang w:val="en-US" w:eastAsia="en-US"/>
        </w:rPr>
        <w:t xml:space="preserve">- 50 </w:t>
      </w:r>
      <w:r>
        <w:rPr>
          <w:rStyle w:val="CharStyle7"/>
          <w:i/>
          <w:iCs/>
        </w:rPr>
        <w:t>град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  <w:i/>
          <w:iCs/>
        </w:rPr>
        <w:t xml:space="preserve">Материал корпуса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>сталь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  <w:i/>
          <w:iCs/>
        </w:rPr>
        <w:t xml:space="preserve">Объем бака </w:t>
      </w:r>
      <w:r>
        <w:rPr>
          <w:rStyle w:val="CharStyle7"/>
          <w:i/>
          <w:iCs/>
          <w:lang w:val="en-US" w:eastAsia="en-US"/>
        </w:rPr>
        <w:t xml:space="preserve">- 12 </w:t>
      </w:r>
      <w:r>
        <w:rPr>
          <w:rStyle w:val="CharStyle7"/>
          <w:i/>
          <w:iCs/>
        </w:rPr>
        <w:t>л».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Комиссией Управления установлено, что в описании объекта закупки Заказчиком установлены требования к характеристикам закупаемого товара по п. «Пресс промышленный» такие как: «Тип оборудования: Прессы гидравлические», «Тип управления: Ручной».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Вместе с этим Комиссия Управления отмечает, что в положениях ч.5 ст.42 Закона о контрактной системе прямо указано, что разъяснения положений извещения об осуществлении закупки не должны изменять суть извещения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Исходя из вышеизложенного Комиссия Управления приходит к выводу, что разъяснения положений извещения об осуществлении закупки размещены Заказчиком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На основании вышеизложенного, Комиссия Управления приходит к выводу о нарушении Заказчиком положений ч.5 ст.42 Закона о контрактной системе, что содержит признаки состава административного правонарушения, ответственность за которое предусмотрена ч.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7.30.1 </w:t>
      </w:r>
      <w:r>
        <w:rPr>
          <w:rStyle w:val="CharStyle7"/>
        </w:rPr>
        <w:t>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Одновременно с этим Комиссией Управления установлено, что вышеуказанное нарушение не повлияло на результаты определения поставщика, (подрядчика исполнителя), так как, 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04.09.2025 </w:t>
      </w:r>
      <w:r>
        <w:rPr>
          <w:rStyle w:val="CharStyle7"/>
        </w:rPr>
        <w:t xml:space="preserve">№ИЭА1, на участие в закупке подано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заявки, снижение составило </w:t>
      </w:r>
      <w:r>
        <w:rPr>
          <w:rStyle w:val="CharStyle7"/>
          <w:lang w:val="en-US" w:eastAsia="en-US"/>
        </w:rPr>
        <w:t xml:space="preserve">75%, </w:t>
      </w:r>
      <w:r>
        <w:rPr>
          <w:rStyle w:val="CharStyle7"/>
        </w:rPr>
        <w:t>что свидетельствует о том, что выявленные нарушения не повлияли на результаты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.Признать жалобу ООО «Авангард» на действия ГБУ «Гормост»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.Признать в действиях Заказчика нарушения ч.5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.Обязательное для исполнения предписание об устранении нарушений Закона о контрактной системе Заказчику не выдавать, поскольку выявленные нарушения не повлияли на результаты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1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7"/>
        </w:rPr>
        <w:t>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58" w:right="539" w:bottom="1115" w:left="1099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330200" distB="219075" distL="0" distR="0" simplePos="0" relativeHeight="125829382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330200</wp:posOffset>
                </wp:positionV>
                <wp:extent cx="184404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800000000000004pt;margin-top:26.pt;width:145.20000000000002pt;height:19.699999999999999pt;z-index:-125829371;mso-wrap-distance-left:0;mso-wrap-distance-top:26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4" behindDoc="0" locked="0" layoutInCell="1" allowOverlap="1">
            <wp:simplePos x="0" y="0"/>
            <wp:positionH relativeFrom="page">
              <wp:posOffset>3102610</wp:posOffset>
            </wp:positionH>
            <wp:positionV relativeFrom="paragraph">
              <wp:posOffset>403225</wp:posOffset>
            </wp:positionV>
            <wp:extent cx="359410" cy="39624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491490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40000000000003pt;margin-top:38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19075" distL="0" distR="0" simplePos="0" relativeHeight="125829385" behindDoc="0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330200</wp:posOffset>
                </wp:positionV>
                <wp:extent cx="113665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8.5pt;margin-top:26.pt;width:89.5pt;height:19.699999999999999pt;z-index:-125829368;mso-wrap-distance-left:0;mso-wrap-distance-top:26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7"/>
          <w:color w:val="FFFFFF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Грешнева Дарья Сергеевна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  <w:color w:val="292929"/>
        </w:rPr>
        <w:t xml:space="preserve">Сертификат № </w:t>
      </w:r>
      <w:r>
        <w:rPr>
          <w:rStyle w:val="CharStyle19"/>
          <w:color w:val="5D5D5D"/>
        </w:rPr>
        <w:t>00831</w:t>
      </w:r>
      <w:r>
        <w:rPr>
          <w:rStyle w:val="CharStyle19"/>
          <w:lang w:val="en-US" w:eastAsia="en-US"/>
        </w:rPr>
        <w:t>B7545C61281C4BAB156778A683BFB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9"/>
        </w:rPr>
        <w:t xml:space="preserve">Действителен с </w:t>
      </w:r>
      <w:r>
        <w:rPr>
          <w:rStyle w:val="CharStyle19"/>
          <w:color w:val="292929"/>
        </w:rPr>
        <w:t xml:space="preserve">17.07.2025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3102610</wp:posOffset>
            </wp:positionH>
            <wp:positionV relativeFrom="paragraph">
              <wp:posOffset>50800</wp:posOffset>
            </wp:positionV>
            <wp:extent cx="359410" cy="40830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40000000000003pt;margin-top:11.7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1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7"/>
          <w:color w:val="FFFFFF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Леонова Алена Альбертовна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009389F972AA570F22D19E7C51D28B0906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9"/>
        </w:rPr>
        <w:t>Действителен с 20.09.2024 по 14.12.2025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20"/>
        <w:jc w:val="left"/>
      </w:pPr>
      <w:r>
        <w:drawing>
          <wp:anchor distT="0" distB="0" distL="114300" distR="1918970" simplePos="0" relativeHeight="125829388" behindDoc="0" locked="0" layoutInCell="1" allowOverlap="1">
            <wp:simplePos x="0" y="0"/>
            <wp:positionH relativeFrom="page">
              <wp:posOffset>3126740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40000000000003pt;margin-top:11.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1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7"/>
          <w:color w:val="FFFFFF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Матюшенко Александр Александрович</w:t>
      </w:r>
      <w:r>
        <w:rPr>
          <w:rStyle w:val="CharStyle19"/>
          <w:color w:val="000000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4F595A5C3E5ABB2DD77161F08559FC07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340" w:line="266" w:lineRule="auto"/>
        <w:ind w:right="0" w:firstLine="0"/>
        <w:jc w:val="left"/>
      </w:pPr>
      <w:r>
        <w:rPr>
          <w:rStyle w:val="CharStyle19"/>
        </w:rPr>
        <w:t xml:space="preserve">Действителен с 22.07.2025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15.10.2026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4"/>
        </w:rPr>
        <w:t>Исп. Леонова А.А. тел. 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2025-40927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00000000000003pt;margin-top:794.70000000000005pt;width:57.10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2025-40927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10214610</wp:posOffset>
              </wp:positionV>
              <wp:extent cx="731520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2025-40927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100000000000001pt;margin-top:804.30000000000007pt;width:57.6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2025-40927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473075</wp:posOffset>
              </wp:positionV>
              <wp:extent cx="67310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2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19999999999999pt;margin-top:37.25pt;width:5.2999999999999998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2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2">
    <w:name w:val="Header or footer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7">
    <w:name w:val="Body text (4)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character" w:customStyle="1" w:styleId="CharStyle24">
    <w:name w:val="Body text (5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1">
    <w:name w:val="Header or footer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6">
    <w:name w:val="Body text (4)"/>
    <w:basedOn w:val="Normal"/>
    <w:link w:val="CharStyle17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paragraph" w:customStyle="1" w:styleId="Style23">
    <w:name w:val="Body text (5)"/>
    <w:basedOn w:val="Normal"/>
    <w:link w:val="CharStyle24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