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59" w:line="1" w:lineRule="exact"/>
      </w:pPr>
    </w:p>
    <w:p>
      <w:pPr>
        <w:pStyle w:val="Style5"/>
        <w:keepNext w:val="0"/>
        <w:keepLines w:val="0"/>
        <w:widowControl w:val="0"/>
        <w:shd w:val="clear" w:color="auto" w:fill="auto"/>
        <w:bidi w:val="0"/>
        <w:spacing w:before="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5"/>
        <w:keepNext w:val="0"/>
        <w:keepLines w:val="0"/>
        <w:widowControl w:val="0"/>
        <w:shd w:val="clear" w:color="auto" w:fill="auto"/>
        <w:bidi w:val="0"/>
        <w:spacing w:before="0"/>
        <w:ind w:left="0" w:right="0" w:firstLine="0"/>
        <w:jc w:val="center"/>
        <w:rPr>
          <w:sz w:val="17"/>
          <w:szCs w:val="17"/>
        </w:rPr>
      </w:pPr>
      <w:r>
        <w:rPr>
          <w:rStyle w:val="CharStyle6"/>
          <w:b/>
          <w:bCs/>
          <w:sz w:val="17"/>
          <w:szCs w:val="17"/>
        </w:rPr>
        <w:t>УПРАВЛЕНИЕ</w:t>
        <w:br/>
        <w:t>Федеральной антимонопольной службы</w:t>
        <w:br/>
        <w:t>по Красноярскому краю</w:t>
      </w:r>
    </w:p>
    <w:p>
      <w:pPr>
        <w:pStyle w:val="Style5"/>
        <w:keepNext w:val="0"/>
        <w:keepLines w:val="0"/>
        <w:widowControl w:val="0"/>
        <w:shd w:val="clear" w:color="auto" w:fill="auto"/>
        <w:bidi w:val="0"/>
        <w:spacing w:before="0" w:after="440"/>
        <w:ind w:left="0" w:right="0" w:firstLine="0"/>
        <w:jc w:val="center"/>
      </w:pPr>
      <w:r>
        <w:rPr>
          <w:rStyle w:val="CharStyle6"/>
        </w:rPr>
        <w:t>пр. Мира, 81 д, г. Красноярск, 660017</w:t>
        <w:br/>
        <w:t>тел. (391) 211-00-00, факс (391) 211-01-14</w:t>
        <w:br/>
      </w:r>
      <w:r>
        <w:rPr>
          <w:rStyle w:val="CharStyle6"/>
          <w:lang w:val="en-US" w:eastAsia="en-US"/>
        </w:rPr>
        <w:t xml:space="preserve">e-mail: </w:t>
      </w:r>
      <w:r>
        <w:fldChar w:fldCharType="begin"/>
      </w:r>
      <w:r>
        <w:rPr/>
        <w:instrText> HYPERLINK "mailto:to24@fas.gov.ru" </w:instrText>
      </w:r>
      <w:r>
        <w:fldChar w:fldCharType="separate"/>
      </w:r>
      <w:r>
        <w:rPr>
          <w:rStyle w:val="CharStyle6"/>
          <w:lang w:val="en-US" w:eastAsia="en-US"/>
        </w:rPr>
        <w:t>to24@fas.gov.ru</w:t>
      </w:r>
      <w:r>
        <w:fldChar w:fldCharType="end"/>
      </w:r>
    </w:p>
    <w:p>
      <w:pPr>
        <w:pStyle w:val="Style8"/>
        <w:keepNext w:val="0"/>
        <w:keepLines w:val="0"/>
        <w:widowControl w:val="0"/>
        <w:shd w:val="clear" w:color="auto" w:fill="auto"/>
        <w:tabs>
          <w:tab w:leader="underscore" w:pos="1766" w:val="left"/>
          <w:tab w:leader="underscore" w:pos="3926" w:val="left"/>
        </w:tabs>
        <w:bidi w:val="0"/>
        <w:spacing w:before="0"/>
        <w:ind w:left="0" w:right="0" w:firstLine="0"/>
        <w:jc w:val="both"/>
      </w:pPr>
      <w:r>
        <w:rPr>
          <w:rStyle w:val="CharStyle9"/>
        </w:rPr>
        <w:tab/>
        <w:t xml:space="preserve"> №</w:t>
        <w:tab/>
      </w:r>
    </w:p>
    <w:p>
      <w:pPr>
        <w:pStyle w:val="Style10"/>
        <w:keepNext w:val="0"/>
        <w:keepLines w:val="0"/>
        <w:widowControl w:val="0"/>
        <w:shd w:val="clear" w:color="auto" w:fill="auto"/>
        <w:bidi w:val="0"/>
        <w:spacing w:before="0" w:after="0"/>
        <w:ind w:left="0" w:right="0" w:firstLine="0"/>
        <w:jc w:val="left"/>
      </w:pPr>
      <w:r>
        <w:rPr>
          <w:rStyle w:val="CharStyle11"/>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2"/>
        <w:keepNext w:val="0"/>
        <w:keepLines w:val="0"/>
        <w:widowControl w:val="0"/>
        <w:shd w:val="clear" w:color="auto" w:fill="auto"/>
        <w:bidi w:val="0"/>
        <w:spacing w:before="0" w:after="0" w:line="240" w:lineRule="auto"/>
        <w:ind w:left="0" w:right="0" w:firstLine="0"/>
        <w:jc w:val="left"/>
      </w:pPr>
      <w:r>
        <w:rPr>
          <w:rStyle w:val="CharStyle13"/>
        </w:rPr>
        <w:t>ИП Кравченко А.В.</w:t>
      </w:r>
    </w:p>
    <w:p>
      <w:pPr>
        <w:pStyle w:val="Style12"/>
        <w:keepNext w:val="0"/>
        <w:keepLines w:val="0"/>
        <w:widowControl w:val="0"/>
        <w:shd w:val="clear" w:color="auto" w:fill="auto"/>
        <w:bidi w:val="0"/>
        <w:spacing w:before="0" w:after="240" w:line="240" w:lineRule="auto"/>
        <w:ind w:left="0" w:right="0" w:firstLine="0"/>
        <w:jc w:val="left"/>
      </w:pPr>
      <w:r>
        <w:rPr>
          <w:rStyle w:val="CharStyle13"/>
        </w:rPr>
        <w:t xml:space="preserve">ул. Деревенская, 17, д. Ляды, с.п. Рождественское, Гатчинский р-н., Ленинградская обл., 188335 </w:t>
      </w:r>
      <w:r>
        <w:fldChar w:fldCharType="begin"/>
      </w:r>
      <w:r>
        <w:rPr/>
        <w:instrText> HYPERLINK "mailto:info@gosfarm.ru" </w:instrText>
      </w:r>
      <w:r>
        <w:fldChar w:fldCharType="separate"/>
      </w:r>
      <w:r>
        <w:rPr>
          <w:rStyle w:val="CharStyle13"/>
          <w:lang w:val="en-US" w:eastAsia="en-US"/>
        </w:rPr>
        <w:t>info@gosfarm.ru</w:t>
      </w:r>
      <w:r>
        <w:fldChar w:fldCharType="end"/>
      </w:r>
    </w:p>
    <w:p>
      <w:pPr>
        <w:pStyle w:val="Style12"/>
        <w:keepNext w:val="0"/>
        <w:keepLines w:val="0"/>
        <w:widowControl w:val="0"/>
        <w:shd w:val="clear" w:color="auto" w:fill="auto"/>
        <w:bidi w:val="0"/>
        <w:spacing w:before="0" w:after="0" w:line="240" w:lineRule="auto"/>
        <w:ind w:left="0" w:right="0" w:firstLine="0"/>
        <w:jc w:val="left"/>
      </w:pPr>
      <w:r>
        <w:rPr>
          <w:rStyle w:val="CharStyle13"/>
        </w:rPr>
        <w:t xml:space="preserve">КГКУ «КТЦМК» ул. Баумана, д. 26А, г. Красноярск, 660028 </w:t>
      </w:r>
      <w:r>
        <w:fldChar w:fldCharType="begin"/>
      </w:r>
      <w:r>
        <w:rPr/>
        <w:instrText> HYPERLINK "mailto:ktcmk@bk.ru" </w:instrText>
      </w:r>
      <w:r>
        <w:fldChar w:fldCharType="separate"/>
      </w:r>
      <w:r>
        <w:rPr>
          <w:rStyle w:val="CharStyle13"/>
          <w:lang w:val="en-US" w:eastAsia="en-US"/>
        </w:rPr>
        <w:t>ktcmk@bk.ru</w:t>
      </w:r>
      <w:r>
        <w:fldChar w:fldCharType="end"/>
      </w:r>
      <w:r>
        <w:rPr>
          <w:rStyle w:val="CharStyle13"/>
          <w:lang w:val="en-US" w:eastAsia="en-US"/>
        </w:rPr>
        <w:t xml:space="preserve">; </w:t>
      </w:r>
      <w:r>
        <w:fldChar w:fldCharType="begin"/>
      </w:r>
      <w:r>
        <w:rPr/>
        <w:instrText> HYPERLINK "mailto:medicinakatastrof@bk.ru" </w:instrText>
      </w:r>
      <w:r>
        <w:fldChar w:fldCharType="separate"/>
      </w:r>
      <w:r>
        <w:rPr>
          <w:rStyle w:val="CharStyle13"/>
          <w:lang w:val="en-US" w:eastAsia="en-US"/>
        </w:rPr>
        <w:t>medicinakatastrof@bk.ru</w:t>
      </w:r>
      <w:r>
        <w:fldChar w:fldCharType="end"/>
      </w:r>
      <w:r>
        <w:rPr>
          <w:rStyle w:val="CharStyle13"/>
          <w:lang w:val="en-US" w:eastAsia="en-US"/>
        </w:rPr>
        <w:t>;</w:t>
      </w:r>
    </w:p>
    <w:p>
      <w:pPr>
        <w:pStyle w:val="Style12"/>
        <w:keepNext w:val="0"/>
        <w:keepLines w:val="0"/>
        <w:widowControl w:val="0"/>
        <w:shd w:val="clear" w:color="auto" w:fill="auto"/>
        <w:bidi w:val="0"/>
        <w:spacing w:before="0" w:after="240" w:line="240" w:lineRule="auto"/>
        <w:ind w:left="0" w:right="0" w:firstLine="0"/>
        <w:jc w:val="left"/>
      </w:pPr>
      <w:r>
        <w:fldChar w:fldCharType="begin"/>
      </w:r>
      <w:r>
        <w:rPr/>
        <w:instrText> HYPERLINK "mailto:ktcmk_kadr@mail.ru" </w:instrText>
      </w:r>
      <w:r>
        <w:fldChar w:fldCharType="separate"/>
      </w:r>
      <w:r>
        <w:rPr>
          <w:rStyle w:val="CharStyle13"/>
          <w:lang w:val="en-US" w:eastAsia="en-US"/>
        </w:rPr>
        <w:t>ktcmk_kadr@mail.ru</w:t>
      </w:r>
      <w:r>
        <w:fldChar w:fldCharType="end"/>
      </w:r>
    </w:p>
    <w:p>
      <w:pPr>
        <w:pStyle w:val="Style12"/>
        <w:keepNext w:val="0"/>
        <w:keepLines w:val="0"/>
        <w:widowControl w:val="0"/>
        <w:shd w:val="clear" w:color="auto" w:fill="auto"/>
        <w:bidi w:val="0"/>
        <w:spacing w:before="0" w:after="0" w:line="240" w:lineRule="auto"/>
        <w:ind w:left="0" w:right="0" w:firstLine="0"/>
        <w:jc w:val="left"/>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279" w:right="896" w:bottom="1313" w:left="896" w:header="0" w:footer="3" w:gutter="239"/>
          <w:pgNumType w:start="1"/>
          <w:cols w:num="2" w:space="1749"/>
          <w:noEndnote/>
          <w:titlePg/>
          <w:rtlGutter w:val="0"/>
          <w:docGrid w:linePitch="360"/>
        </w:sectPr>
      </w:pPr>
      <w:r>
        <w:rPr>
          <w:rStyle w:val="CharStyle13"/>
        </w:rPr>
        <w:t xml:space="preserve">ООО «РТС-тендер» </w:t>
      </w:r>
      <w:r>
        <w:fldChar w:fldCharType="begin"/>
      </w:r>
      <w:r>
        <w:rPr/>
        <w:instrText> HYPERLINK "mailto:info@rts-tender.ru" </w:instrText>
      </w:r>
      <w:r>
        <w:fldChar w:fldCharType="separate"/>
      </w:r>
      <w:r>
        <w:rPr>
          <w:rStyle w:val="CharStyle13"/>
          <w:lang w:val="en-US" w:eastAsia="en-US"/>
        </w:rPr>
        <w:t>info@rts-tender.ru</w:t>
      </w:r>
      <w:r>
        <w:fldChar w:fldCharType="end"/>
      </w:r>
    </w:p>
    <w:p>
      <w:pPr>
        <w:widowControl w:val="0"/>
        <w:spacing w:line="240" w:lineRule="exact"/>
        <w:rPr>
          <w:sz w:val="19"/>
          <w:szCs w:val="19"/>
        </w:rPr>
      </w:pPr>
    </w:p>
    <w:p>
      <w:pPr>
        <w:widowControl w:val="0"/>
        <w:spacing w:before="17" w:after="1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893" w:right="0" w:bottom="899" w:left="0" w:header="0" w:footer="3" w:gutter="0"/>
          <w:cols w:space="720"/>
          <w:noEndnote/>
          <w:rtlGutter w:val="0"/>
          <w:docGrid w:linePitch="360"/>
        </w:sectPr>
      </w:pPr>
    </w:p>
    <w:p>
      <w:pPr>
        <w:pStyle w:val="Style12"/>
        <w:keepNext w:val="0"/>
        <w:keepLines w:val="0"/>
        <w:widowControl w:val="0"/>
        <w:shd w:val="clear" w:color="auto" w:fill="auto"/>
        <w:bidi w:val="0"/>
        <w:spacing w:before="0" w:after="240" w:line="240" w:lineRule="auto"/>
        <w:ind w:left="0" w:right="0" w:firstLine="0"/>
        <w:jc w:val="center"/>
      </w:pPr>
      <w:r>
        <w:rPr>
          <w:rStyle w:val="CharStyle13"/>
        </w:rPr>
        <w:t>Решение № 024/06/106-2554/2025</w:t>
      </w:r>
    </w:p>
    <w:p>
      <w:pPr>
        <w:pStyle w:val="Style12"/>
        <w:keepNext w:val="0"/>
        <w:keepLines w:val="0"/>
        <w:widowControl w:val="0"/>
        <w:shd w:val="clear" w:color="auto" w:fill="auto"/>
        <w:bidi w:val="0"/>
        <w:spacing w:before="0" w:after="240" w:line="240" w:lineRule="auto"/>
        <w:ind w:left="0" w:right="0" w:firstLine="0"/>
        <w:jc w:val="both"/>
      </w:pPr>
      <w:r>
        <w:rPr>
          <w:rStyle w:val="CharStyle13"/>
        </w:rPr>
        <w:t>05 сентября 2025 года г. Красноярск</w:t>
      </w:r>
    </w:p>
    <w:p>
      <w:pPr>
        <w:pStyle w:val="Style12"/>
        <w:keepNext w:val="0"/>
        <w:keepLines w:val="0"/>
        <w:widowControl w:val="0"/>
        <w:shd w:val="clear" w:color="auto" w:fill="auto"/>
        <w:bidi w:val="0"/>
        <w:spacing w:before="0" w:after="0" w:line="240" w:lineRule="auto"/>
        <w:ind w:left="0" w:right="0" w:firstLine="720"/>
        <w:jc w:val="both"/>
      </w:pPr>
      <w:r>
        <w:rPr>
          <w:rStyle w:val="CharStyle13"/>
        </w:rPr>
        <w:t>Комиссия Красноярского УФАС России по контролю в сфере закупок в составе: Председатель Комиссии – заместитель руководителя М.А. Дударева, члены Комиссии — начальник отдела М.А. Грицай, старший государственный инспектор А.Р. Мулагалеев (далее – Комиссия), рассмотрев жалобу ИП Кравченко А.В. (далее — податель жалобы, заявитель) на действия заказчика – КГКУ «КТЦМК» (далее – заказчик) при проведении аукциона в электронной форме ЭА-№-15861/25 на «Приобретение изделий (оборудования) медицинского назначения» (далее – электронный аукцион), ИКЗ 252246606274324600100100080070000244, извещение № 0119200000125016007 на электронной торговой площадке ООО «РТС-тендер», установила следующее.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адрес Красноярского УФАС России поступила жалоба ИП Кравченко А.В. (далее – податель жалобы) на действия заказчика при проведении электронного аукциона, размещенного на электронной торговой площадке ООО «РТС-тендер» (далее – оператор электронной площадки), номер извещения 0119200000125016007.</w:t>
      </w:r>
    </w:p>
    <w:p>
      <w:pPr>
        <w:pStyle w:val="Style12"/>
        <w:keepNext w:val="0"/>
        <w:keepLines w:val="0"/>
        <w:widowControl w:val="0"/>
        <w:shd w:val="clear" w:color="auto" w:fill="auto"/>
        <w:bidi w:val="0"/>
        <w:spacing w:before="0" w:after="0" w:line="240" w:lineRule="auto"/>
        <w:ind w:left="0" w:right="0" w:firstLine="720"/>
        <w:jc w:val="both"/>
      </w:pPr>
      <w:r>
        <w:rPr>
          <w:rStyle w:val="CharStyle13"/>
        </w:rPr>
        <w:t>Существо жалобы: составление извещения о проведении электронного аукциона с нарушением требований,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Жалоба была подана в Красноярское УФАС России в срок, установленный частью 2 статьи 105 Закона о контрактной системе, соответствовала требованиям части 4 статьи 105 указанного закона, в связи с чем была принята к рассмотрению по существу.</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адреса подателя жалобы, заказчика, оператора электронной площадки было направлено уведомление о содержании жалобы с информацией о месте и времени ее рассмотрения (далее — Уведомление).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Заказчику, оператору электронной площадки было предложено предоставить в адрес Красноярского УФАС России документы и сведения, необходимые для рассмотрения жалобы по существу.</w:t>
      </w:r>
    </w:p>
    <w:p>
      <w:pPr>
        <w:pStyle w:val="Style12"/>
        <w:keepNext w:val="0"/>
        <w:keepLines w:val="0"/>
        <w:widowControl w:val="0"/>
        <w:shd w:val="clear" w:color="auto" w:fill="auto"/>
        <w:bidi w:val="0"/>
        <w:spacing w:before="0" w:after="240" w:line="240" w:lineRule="auto"/>
        <w:ind w:left="0" w:right="0" w:firstLine="720"/>
        <w:jc w:val="both"/>
      </w:pPr>
      <w:r>
        <w:rPr>
          <w:rStyle w:val="CharStyle13"/>
        </w:rPr>
        <w:t>После заседания Комиссии от Подателя жалобы поступило ходатайство о рассмотрении</w:t>
      </w:r>
    </w:p>
    <w:p>
      <w:pPr>
        <w:widowControl w:val="0"/>
        <w:spacing w:line="1" w:lineRule="exact"/>
      </w:pPr>
      <w:r>
        <w:drawing>
          <wp:anchor distT="50800" distB="0" distL="0" distR="0" simplePos="0" relativeHeight="125829378" behindDoc="0" locked="0" layoutInCell="1" allowOverlap="1">
            <wp:simplePos x="0" y="0"/>
            <wp:positionH relativeFrom="margin">
              <wp:posOffset>16510</wp:posOffset>
            </wp:positionH>
            <wp:positionV relativeFrom="paragraph">
              <wp:posOffset>50800</wp:posOffset>
            </wp:positionV>
            <wp:extent cx="1517650" cy="29273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3"/>
                    <a:stretch/>
                  </pic:blipFill>
                  <pic:spPr>
                    <a:xfrm>
                      <a:ext cx="1517650" cy="292735"/>
                    </a:xfrm>
                    <a:prstGeom prst="rect"/>
                  </pic:spPr>
                </pic:pic>
              </a:graphicData>
            </a:graphic>
          </wp:anchor>
        </w:drawing>
      </w:r>
    </w:p>
    <w:p>
      <w:pPr>
        <w:pStyle w:val="Style12"/>
        <w:keepNext w:val="0"/>
        <w:keepLines w:val="0"/>
        <w:widowControl w:val="0"/>
        <w:shd w:val="clear" w:color="auto" w:fill="auto"/>
        <w:bidi w:val="0"/>
        <w:spacing w:before="0" w:after="0" w:line="240" w:lineRule="auto"/>
        <w:ind w:left="0" w:right="0" w:firstLine="0"/>
        <w:jc w:val="both"/>
      </w:pPr>
      <w:r>
        <w:rPr>
          <w:rStyle w:val="CharStyle13"/>
        </w:rPr>
        <w:t>обращения посредством видео-конференц связи, в удовлетворении жалобы было отказано по причине завершения заседания Комиссии и объявления резолютивной части на момент получения ходатайства.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содержании жалобы указаны следующие доводы:</w:t>
      </w:r>
    </w:p>
    <w:p>
      <w:pPr>
        <w:pStyle w:val="Style12"/>
        <w:keepNext w:val="0"/>
        <w:keepLines w:val="0"/>
        <w:widowControl w:val="0"/>
        <w:numPr>
          <w:ilvl w:val="0"/>
          <w:numId w:val="1"/>
        </w:numPr>
        <w:shd w:val="clear" w:color="auto" w:fill="auto"/>
        <w:tabs>
          <w:tab w:pos="931" w:val="left"/>
        </w:tabs>
        <w:bidi w:val="0"/>
        <w:spacing w:before="0" w:after="0" w:line="240" w:lineRule="auto"/>
        <w:ind w:left="0" w:right="0" w:firstLine="720"/>
        <w:jc w:val="both"/>
      </w:pPr>
      <w:r>
        <w:rPr>
          <w:rStyle w:val="CharStyle13"/>
        </w:rPr>
        <w:t>по мнению Заявителя, заказчик описал объект закупки таким образом, что ему не соответствует ни один из товаров, присутствующий в едином реестре радиоэлектронной продукции, описанию объекта закупки соответствует продукция исключительно иностранного производства более низкого качества, по завышенной цене;</w:t>
      </w:r>
    </w:p>
    <w:p>
      <w:pPr>
        <w:pStyle w:val="Style12"/>
        <w:keepNext w:val="0"/>
        <w:keepLines w:val="0"/>
        <w:widowControl w:val="0"/>
        <w:numPr>
          <w:ilvl w:val="0"/>
          <w:numId w:val="1"/>
        </w:numPr>
        <w:shd w:val="clear" w:color="auto" w:fill="auto"/>
        <w:tabs>
          <w:tab w:pos="931" w:val="left"/>
        </w:tabs>
        <w:bidi w:val="0"/>
        <w:spacing w:before="0" w:after="0" w:line="240" w:lineRule="auto"/>
        <w:ind w:left="0" w:right="0" w:firstLine="720"/>
        <w:jc w:val="both"/>
      </w:pPr>
      <w:r>
        <w:rPr>
          <w:rStyle w:val="CharStyle13"/>
        </w:rPr>
        <w:t>по мнению Заявителя, в Техническом задании указаны характеристики товара ниже (хуже), чем у оборудования, размещённого в Реестре Радиоэлектронной продукции Российского производства;</w:t>
      </w:r>
    </w:p>
    <w:p>
      <w:pPr>
        <w:pStyle w:val="Style12"/>
        <w:keepNext w:val="0"/>
        <w:keepLines w:val="0"/>
        <w:widowControl w:val="0"/>
        <w:numPr>
          <w:ilvl w:val="0"/>
          <w:numId w:val="1"/>
        </w:numPr>
        <w:shd w:val="clear" w:color="auto" w:fill="auto"/>
        <w:tabs>
          <w:tab w:pos="932" w:val="left"/>
        </w:tabs>
        <w:bidi w:val="0"/>
        <w:spacing w:before="0" w:after="0" w:line="240" w:lineRule="auto"/>
        <w:ind w:left="0" w:right="0" w:firstLine="720"/>
        <w:jc w:val="both"/>
      </w:pPr>
      <w:r>
        <w:rPr>
          <w:rStyle w:val="CharStyle13"/>
        </w:rPr>
        <w:t xml:space="preserve">по мнению Заявителя, заказчик неправомерно не применил положения Постановления Правительства РФ от </w:t>
      </w:r>
      <w:r>
        <w:rPr>
          <w:rStyle w:val="CharStyle13"/>
          <w:lang w:val="en-US" w:eastAsia="en-US"/>
        </w:rPr>
        <w:t xml:space="preserve">16.11.2015 № 1236 </w:t>
      </w:r>
      <w:r>
        <w:rPr>
          <w:rStyle w:val="CharStyle13"/>
        </w:rPr>
        <w:t xml:space="preserve">«Об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w:t>
      </w:r>
      <w:r>
        <w:rPr>
          <w:rStyle w:val="CharStyle13"/>
          <w:lang w:val="en-US" w:eastAsia="en-US"/>
        </w:rPr>
        <w:t xml:space="preserve">– </w:t>
      </w:r>
      <w:r>
        <w:rPr>
          <w:rStyle w:val="CharStyle13"/>
        </w:rPr>
        <w:t xml:space="preserve">Постановление </w:t>
      </w:r>
      <w:r>
        <w:rPr>
          <w:rStyle w:val="CharStyle13"/>
          <w:lang w:val="en-US" w:eastAsia="en-US"/>
        </w:rPr>
        <w:t xml:space="preserve">№ 1236), </w:t>
      </w:r>
      <w:r>
        <w:rPr>
          <w:rStyle w:val="CharStyle13"/>
        </w:rPr>
        <w:t>а также явным образом не сформулировал требования в отношении программного обеспечения (является такое ПО предустановленным либо поставляемым);</w:t>
      </w:r>
    </w:p>
    <w:p>
      <w:pPr>
        <w:pStyle w:val="Style12"/>
        <w:keepNext w:val="0"/>
        <w:keepLines w:val="0"/>
        <w:widowControl w:val="0"/>
        <w:numPr>
          <w:ilvl w:val="0"/>
          <w:numId w:val="1"/>
        </w:numPr>
        <w:shd w:val="clear" w:color="auto" w:fill="auto"/>
        <w:tabs>
          <w:tab w:pos="932" w:val="left"/>
        </w:tabs>
        <w:bidi w:val="0"/>
        <w:spacing w:before="0" w:after="0" w:line="240" w:lineRule="auto"/>
        <w:ind w:left="0" w:right="0" w:firstLine="720"/>
        <w:jc w:val="both"/>
      </w:pPr>
      <w:r>
        <w:rPr>
          <w:rStyle w:val="CharStyle13"/>
        </w:rPr>
        <w:t xml:space="preserve">по мнению Заявителя, согласно описанию объекта закупки, заказчик закупает программу </w:t>
      </w:r>
      <w:r>
        <w:rPr>
          <w:rStyle w:val="CharStyle13"/>
          <w:lang w:val="en-US" w:eastAsia="en-US"/>
        </w:rPr>
        <w:t xml:space="preserve">DICOM, </w:t>
      </w:r>
      <w:r>
        <w:rPr>
          <w:rStyle w:val="CharStyle13"/>
        </w:rPr>
        <w:t xml:space="preserve">которая является самостоятельным продуктом и ее необходимо закупать отдельно, при этом из Описания объекта закупки следует, что заказчик применил необязательную характеристику из КТРУ </w:t>
      </w:r>
      <w:r>
        <w:rPr>
          <w:rStyle w:val="CharStyle13"/>
          <w:lang w:val="en-US" w:eastAsia="en-US"/>
        </w:rPr>
        <w:t xml:space="preserve">– </w:t>
      </w:r>
      <w:r>
        <w:rPr>
          <w:rStyle w:val="CharStyle13"/>
        </w:rPr>
        <w:t xml:space="preserve">программа обмена данными по протоколу </w:t>
      </w:r>
      <w:r>
        <w:rPr>
          <w:rStyle w:val="CharStyle13"/>
          <w:lang w:val="en-US" w:eastAsia="en-US"/>
        </w:rPr>
        <w:t xml:space="preserve">DICOM, </w:t>
      </w:r>
      <w:r>
        <w:rPr>
          <w:rStyle w:val="CharStyle13"/>
        </w:rPr>
        <w:t xml:space="preserve">запись кадров и кинопетель в формате </w:t>
      </w:r>
      <w:r>
        <w:rPr>
          <w:rStyle w:val="CharStyle13"/>
          <w:lang w:val="en-US" w:eastAsia="en-US"/>
        </w:rPr>
        <w:t>DICOM;</w:t>
      </w:r>
    </w:p>
    <w:p>
      <w:pPr>
        <w:pStyle w:val="Style12"/>
        <w:keepNext w:val="0"/>
        <w:keepLines w:val="0"/>
        <w:widowControl w:val="0"/>
        <w:numPr>
          <w:ilvl w:val="0"/>
          <w:numId w:val="1"/>
        </w:numPr>
        <w:shd w:val="clear" w:color="auto" w:fill="auto"/>
        <w:tabs>
          <w:tab w:pos="931" w:val="left"/>
        </w:tabs>
        <w:bidi w:val="0"/>
        <w:spacing w:before="0" w:after="0" w:line="240" w:lineRule="auto"/>
        <w:ind w:left="0" w:right="0" w:firstLine="720"/>
        <w:jc w:val="both"/>
      </w:pPr>
      <w:r>
        <w:rPr>
          <w:rStyle w:val="CharStyle13"/>
        </w:rPr>
        <w:t xml:space="preserve">по мнению Заявителя, характеристикам, указанным в описании объекта закупки, в полном объеме соответствует продукция только одного производителя, в чем Заявитель усматривает ограничение конкуренции и нарушение требований Федерального закона от </w:t>
      </w:r>
      <w:r>
        <w:rPr>
          <w:rStyle w:val="CharStyle13"/>
          <w:lang w:val="en-US" w:eastAsia="en-US"/>
        </w:rPr>
        <w:t xml:space="preserve">26.07.2006 № </w:t>
      </w:r>
      <w:r>
        <w:rPr>
          <w:rStyle w:val="CharStyle13"/>
        </w:rPr>
        <w:t xml:space="preserve">135-ФЗ «О защите конкуренции» (далее </w:t>
      </w:r>
      <w:r>
        <w:rPr>
          <w:rStyle w:val="CharStyle13"/>
          <w:lang w:val="en-US" w:eastAsia="en-US"/>
        </w:rPr>
        <w:t xml:space="preserve">– </w:t>
      </w:r>
      <w:r>
        <w:rPr>
          <w:rStyle w:val="CharStyle13"/>
        </w:rPr>
        <w:t>Закон о защите конкуренции).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Податель жалобы ходатайствовал об истребовании у заказчика запросов российским производителям (находящимся в реестре радиоэлектронной продукции), полученных коммерческих предложений для обоснования начальной (максимальной) цены контракта, о передаче материалов и довода жалобы в орган внутреннего государственного (муниципального) финансового контроля для проведения проверки обоснования начальной (максимальной) цены контракта.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w:t>
      </w:r>
      <w:r>
        <w:rPr>
          <w:rStyle w:val="CharStyle13"/>
          <w:lang w:val="en-US" w:eastAsia="en-US"/>
        </w:rPr>
        <w:t xml:space="preserve">– </w:t>
      </w:r>
      <w:r>
        <w:rPr>
          <w:rStyle w:val="CharStyle13"/>
        </w:rPr>
        <w:t>ЕИС), проанализировав нормы позитивного права, регулирующие рассматриваемые правоотношения,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связи с возникшей у заказчика потребностью уполномоченным органом были совершены действия по проведению электронного аукциона.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пункту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w:t>
      </w:r>
      <w:r>
        <w:rPr>
          <w:rStyle w:val="CharStyle13"/>
          <w:lang w:val="en-US" w:eastAsia="en-US"/>
        </w:rPr>
        <w:t xml:space="preserve">33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силу пункта </w:t>
      </w:r>
      <w:r>
        <w:rPr>
          <w:rStyle w:val="CharStyle13"/>
          <w:lang w:val="en-US" w:eastAsia="en-US"/>
        </w:rPr>
        <w:t xml:space="preserve">1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Из пункта </w:t>
      </w:r>
      <w:r>
        <w:rPr>
          <w:rStyle w:val="CharStyle13"/>
          <w:lang w:val="en-US" w:eastAsia="en-US"/>
        </w:rPr>
        <w:t xml:space="preserve">2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следует необходимость</w:t>
      </w:r>
    </w:p>
    <w:p>
      <w:pPr>
        <w:pStyle w:val="Style12"/>
        <w:keepNext w:val="0"/>
        <w:keepLines w:val="0"/>
        <w:widowControl w:val="0"/>
        <w:shd w:val="clear" w:color="auto" w:fill="auto"/>
        <w:bidi w:val="0"/>
        <w:spacing w:before="0" w:after="0" w:line="240" w:lineRule="auto"/>
        <w:ind w:left="0" w:right="0" w:firstLine="0"/>
        <w:jc w:val="both"/>
      </w:pPr>
      <w:r>
        <w:rPr>
          <w:rStyle w:val="CharStyle13"/>
        </w:rPr>
        <w:t>использования заказчиком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частью </w:t>
      </w:r>
      <w:r>
        <w:rPr>
          <w:rStyle w:val="CharStyle13"/>
          <w:lang w:val="en-US" w:eastAsia="en-US"/>
        </w:rPr>
        <w:t xml:space="preserve">2 </w:t>
      </w:r>
      <w:r>
        <w:rPr>
          <w:rStyle w:val="CharStyle13"/>
        </w:rPr>
        <w:t xml:space="preserve">статьи </w:t>
      </w:r>
      <w:r>
        <w:rPr>
          <w:rStyle w:val="CharStyle13"/>
          <w:lang w:val="en-US" w:eastAsia="en-US"/>
        </w:rPr>
        <w:t xml:space="preserve">33 </w:t>
      </w:r>
      <w:r>
        <w:rPr>
          <w:rStyle w:val="CharStyle13"/>
        </w:rPr>
        <w:t xml:space="preserve">Закона о контрактной системе описание объекта закупки в соответствии с требованиями, указанными в 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пункту </w:t>
      </w:r>
      <w:r>
        <w:rPr>
          <w:rStyle w:val="CharStyle13"/>
          <w:lang w:val="en-US" w:eastAsia="en-US"/>
        </w:rPr>
        <w:t xml:space="preserve">5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42 </w:t>
      </w:r>
      <w:r>
        <w:rPr>
          <w:rStyle w:val="CharStyle13"/>
        </w:rPr>
        <w:t>Закона о контактной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12"/>
        <w:keepNext w:val="0"/>
        <w:keepLines w:val="0"/>
        <w:widowControl w:val="0"/>
        <w:numPr>
          <w:ilvl w:val="0"/>
          <w:numId w:val="1"/>
        </w:numPr>
        <w:shd w:val="clear" w:color="auto" w:fill="auto"/>
        <w:tabs>
          <w:tab w:pos="1651" w:val="left"/>
        </w:tabs>
        <w:bidi w:val="0"/>
        <w:spacing w:before="0" w:after="0" w:line="240" w:lineRule="auto"/>
        <w:ind w:left="0" w:right="0" w:firstLine="720"/>
        <w:jc w:val="both"/>
      </w:pPr>
      <w:r>
        <w:rPr>
          <w:rStyle w:val="CharStyle13"/>
        </w:rPr>
        <w:t>наименование объекта закупки;</w:t>
      </w:r>
    </w:p>
    <w:p>
      <w:pPr>
        <w:pStyle w:val="Style12"/>
        <w:keepNext w:val="0"/>
        <w:keepLines w:val="0"/>
        <w:widowControl w:val="0"/>
        <w:numPr>
          <w:ilvl w:val="0"/>
          <w:numId w:val="1"/>
        </w:numPr>
        <w:shd w:val="clear" w:color="auto" w:fill="auto"/>
        <w:tabs>
          <w:tab w:pos="932" w:val="left"/>
        </w:tabs>
        <w:bidi w:val="0"/>
        <w:spacing w:before="0" w:after="0" w:line="240" w:lineRule="auto"/>
        <w:ind w:left="0" w:right="0" w:firstLine="720"/>
        <w:jc w:val="both"/>
      </w:pPr>
      <w:r>
        <w:rPr>
          <w:rStyle w:val="CharStyle13"/>
        </w:rPr>
        <w:t xml:space="preserve">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3"/>
          <w:lang w:val="en-US" w:eastAsia="en-US"/>
        </w:rPr>
        <w:t xml:space="preserve">6 </w:t>
      </w:r>
      <w:r>
        <w:rPr>
          <w:rStyle w:val="CharStyle13"/>
        </w:rPr>
        <w:t xml:space="preserve">статьи </w:t>
      </w:r>
      <w:r>
        <w:rPr>
          <w:rStyle w:val="CharStyle13"/>
          <w:lang w:val="en-US" w:eastAsia="en-US"/>
        </w:rPr>
        <w:t xml:space="preserve">23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Часть </w:t>
      </w:r>
      <w:r>
        <w:rPr>
          <w:rStyle w:val="CharStyle13"/>
          <w:lang w:val="en-US" w:eastAsia="en-US"/>
        </w:rPr>
        <w:t xml:space="preserve">6 </w:t>
      </w:r>
      <w:r>
        <w:rPr>
          <w:rStyle w:val="CharStyle13"/>
        </w:rPr>
        <w:t xml:space="preserve">статьи </w:t>
      </w:r>
      <w:r>
        <w:rPr>
          <w:rStyle w:val="CharStyle13"/>
          <w:lang w:val="en-US" w:eastAsia="en-US"/>
        </w:rPr>
        <w:t xml:space="preserve">23 </w:t>
      </w:r>
      <w:r>
        <w:rPr>
          <w:rStyle w:val="CharStyle13"/>
        </w:rPr>
        <w:t xml:space="preserve">Закона о контрактной системе устанавливает,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(далее </w:t>
      </w:r>
      <w:r>
        <w:rPr>
          <w:rStyle w:val="CharStyle13"/>
          <w:lang w:val="en-US" w:eastAsia="en-US"/>
        </w:rPr>
        <w:t xml:space="preserve">– </w:t>
      </w:r>
      <w:r>
        <w:rPr>
          <w:rStyle w:val="CharStyle13"/>
        </w:rPr>
        <w:t xml:space="preserve">Правила формирования формирования КТРУ), а также правила использования указанного каталога (далее </w:t>
      </w:r>
      <w:r>
        <w:rPr>
          <w:rStyle w:val="CharStyle13"/>
          <w:lang w:val="en-US" w:eastAsia="en-US"/>
        </w:rPr>
        <w:t xml:space="preserve">– </w:t>
      </w:r>
      <w:r>
        <w:rPr>
          <w:rStyle w:val="CharStyle13"/>
        </w:rPr>
        <w:t>Правила использования КТРУ) устанавливаются Правительством Российской Федерации.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Правила формирования КТРУ и Правила использования КТРУ утверждены постановлением Правительства Российской Федерации от </w:t>
      </w:r>
      <w:r>
        <w:rPr>
          <w:rStyle w:val="CharStyle13"/>
          <w:lang w:val="en-US" w:eastAsia="en-US"/>
        </w:rPr>
        <w:t xml:space="preserve">08.02.2017 № 145 </w:t>
      </w:r>
      <w:r>
        <w:rPr>
          <w:rStyle w:val="CharStyle13"/>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Из пункта </w:t>
      </w:r>
      <w:r>
        <w:rPr>
          <w:rStyle w:val="CharStyle13"/>
          <w:lang w:val="en-US" w:eastAsia="en-US"/>
        </w:rPr>
        <w:t xml:space="preserve">4 </w:t>
      </w:r>
      <w:r>
        <w:rPr>
          <w:rStyle w:val="CharStyle13"/>
        </w:rPr>
        <w:t xml:space="preserve">Правил использования КТРУ следует, что заказчики обязаны применять информацию, включенную в позицию каталога в соответствии с подпунктами «а» </w:t>
      </w:r>
      <w:r>
        <w:rPr>
          <w:rStyle w:val="CharStyle13"/>
          <w:lang w:val="en-US" w:eastAsia="en-US"/>
        </w:rPr>
        <w:t xml:space="preserve">- </w:t>
      </w:r>
      <w:r>
        <w:rPr>
          <w:rStyle w:val="CharStyle13"/>
        </w:rPr>
        <w:t xml:space="preserve">«г» и «е» </w:t>
      </w:r>
      <w:r>
        <w:rPr>
          <w:rStyle w:val="CharStyle13"/>
          <w:lang w:val="en-US" w:eastAsia="en-US"/>
        </w:rPr>
        <w:t xml:space="preserve">- </w:t>
      </w:r>
      <w:r>
        <w:rPr>
          <w:rStyle w:val="CharStyle13"/>
        </w:rPr>
        <w:t xml:space="preserve">«з» пункта </w:t>
      </w:r>
      <w:r>
        <w:rPr>
          <w:rStyle w:val="CharStyle13"/>
          <w:lang w:val="en-US" w:eastAsia="en-US"/>
        </w:rPr>
        <w:t xml:space="preserve">10 </w:t>
      </w:r>
      <w:r>
        <w:rPr>
          <w:rStyle w:val="CharStyle13"/>
        </w:rPr>
        <w:t>Правил формирования КТРУ,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2"/>
        <w:keepNext w:val="0"/>
        <w:keepLines w:val="0"/>
        <w:widowControl w:val="0"/>
        <w:numPr>
          <w:ilvl w:val="0"/>
          <w:numId w:val="1"/>
        </w:numPr>
        <w:shd w:val="clear" w:color="auto" w:fill="auto"/>
        <w:tabs>
          <w:tab w:pos="1651" w:val="left"/>
        </w:tabs>
        <w:bidi w:val="0"/>
        <w:spacing w:before="0" w:after="0" w:line="240" w:lineRule="auto"/>
        <w:ind w:left="0" w:right="0" w:firstLine="720"/>
        <w:jc w:val="both"/>
      </w:pPr>
      <w:r>
        <w:rPr>
          <w:rStyle w:val="CharStyle13"/>
        </w:rPr>
        <w:t>наименование товара, работы, услуги;</w:t>
      </w:r>
    </w:p>
    <w:p>
      <w:pPr>
        <w:pStyle w:val="Style12"/>
        <w:keepNext w:val="0"/>
        <w:keepLines w:val="0"/>
        <w:widowControl w:val="0"/>
        <w:numPr>
          <w:ilvl w:val="0"/>
          <w:numId w:val="1"/>
        </w:numPr>
        <w:shd w:val="clear" w:color="auto" w:fill="auto"/>
        <w:tabs>
          <w:tab w:pos="931" w:val="left"/>
        </w:tabs>
        <w:bidi w:val="0"/>
        <w:spacing w:before="0" w:after="0" w:line="240" w:lineRule="auto"/>
        <w:ind w:left="0" w:right="0" w:firstLine="720"/>
        <w:jc w:val="both"/>
      </w:pPr>
      <w:r>
        <w:rPr>
          <w:rStyle w:val="CharStyle13"/>
        </w:rPr>
        <w:t>единицы измерения количества товара, объема выполняемой работы, оказываемой услуги (при наличии);</w:t>
      </w:r>
    </w:p>
    <w:p>
      <w:pPr>
        <w:pStyle w:val="Style12"/>
        <w:keepNext w:val="0"/>
        <w:keepLines w:val="0"/>
        <w:widowControl w:val="0"/>
        <w:numPr>
          <w:ilvl w:val="0"/>
          <w:numId w:val="1"/>
        </w:numPr>
        <w:shd w:val="clear" w:color="auto" w:fill="auto"/>
        <w:tabs>
          <w:tab w:pos="1651" w:val="left"/>
        </w:tabs>
        <w:bidi w:val="0"/>
        <w:spacing w:before="0" w:after="0" w:line="240" w:lineRule="auto"/>
        <w:ind w:left="0" w:right="0" w:firstLine="720"/>
        <w:jc w:val="both"/>
      </w:pPr>
      <w:r>
        <w:rPr>
          <w:rStyle w:val="CharStyle13"/>
        </w:rPr>
        <w:t>описание товара, работы, услуги (при наличии такого описания в позиции).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На основании анализа положений извещения о проведении электронного аукциона сформированных с использованием ЕИС при заполнении экранных форм веб-интерфейса ЕИС (часть </w:t>
      </w:r>
      <w:r>
        <w:rPr>
          <w:rStyle w:val="CharStyle13"/>
          <w:lang w:val="en-US" w:eastAsia="en-US"/>
        </w:rPr>
        <w:t xml:space="preserve">1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пункт </w:t>
      </w:r>
      <w:r>
        <w:rPr>
          <w:rStyle w:val="CharStyle13"/>
          <w:lang w:val="en-US" w:eastAsia="en-US"/>
        </w:rPr>
        <w:t xml:space="preserve">3 </w:t>
      </w:r>
      <w:r>
        <w:rPr>
          <w:rStyle w:val="CharStyle13"/>
        </w:rPr>
        <w:t xml:space="preserve">Положения о порядке формирования и размещения информации и документов в единой информационной системе в сфере закупок, о требованиях к их формам, утвержденного постановлением Правительства Российской Федерации от </w:t>
      </w:r>
      <w:r>
        <w:rPr>
          <w:rStyle w:val="CharStyle13"/>
          <w:lang w:val="en-US" w:eastAsia="en-US"/>
        </w:rPr>
        <w:t xml:space="preserve">27.01.2022 № 60), </w:t>
      </w:r>
      <w:r>
        <w:rPr>
          <w:rStyle w:val="CharStyle13"/>
        </w:rPr>
        <w:t xml:space="preserve">а также при прикреплении электронных документов (часть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пункт </w:t>
      </w:r>
      <w:r>
        <w:rPr>
          <w:rStyle w:val="CharStyle13"/>
          <w:lang w:val="en-US" w:eastAsia="en-US"/>
        </w:rPr>
        <w:t xml:space="preserve">4 </w:t>
      </w:r>
      <w:r>
        <w:rPr>
          <w:rStyle w:val="CharStyle13"/>
        </w:rPr>
        <w:t xml:space="preserve">вышеуказанного Положения), Комиссия установила, что заказчиком осуществляется закупка медицинского оборудования (Система рентгеновская диагностическая стационарная общего назначения, цифровая КТРУ </w:t>
      </w:r>
      <w:r>
        <w:rPr>
          <w:rStyle w:val="CharStyle13"/>
          <w:lang w:val="en-US" w:eastAsia="en-US"/>
        </w:rPr>
        <w:t>26.60.11.113-00000097.</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отношении довода Заявителя о том, что заказчик описал объект закупки таким образом что ему не соответствует ни один товар, присутствующая в едином реестре радиоэлектронной продукции, описанию объекта закупки соответствует продукция исключительно иностранного производства более низкого качества, по завышенной цене, Комиссия считает необходимым сообщить следующее.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Системное толкование норм Закона о контрактной системе позволяет сделать вывод о том что заказчик вправе предъявлять такие требования к качеству, техническим и функциональным характеристикам товара, которые соответствуют его потребностям с учетом специфики его деятельности и обеспечивают эффективное использование бюджетных средств, но не способствуют ограничению количества участников закупки. 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w:t>
      </w:r>
    </w:p>
    <w:p>
      <w:pPr>
        <w:pStyle w:val="Style12"/>
        <w:keepNext w:val="0"/>
        <w:keepLines w:val="0"/>
        <w:widowControl w:val="0"/>
        <w:shd w:val="clear" w:color="auto" w:fill="auto"/>
        <w:bidi w:val="0"/>
        <w:spacing w:before="0" w:after="0" w:line="240" w:lineRule="auto"/>
        <w:ind w:left="0" w:right="0" w:firstLine="720"/>
        <w:jc w:val="both"/>
      </w:pPr>
      <w:r>
        <w:rPr>
          <w:rStyle w:val="CharStyle13"/>
        </w:rPr>
        <w:t>Закон о контрактной системе не содержит норм, ограничивающих право заказчика включать в извещение о проведении электронного аукциона требования к объекту закупки, которые являются для него значимыми, равно как и норм, обязывающих заказчика устанавливать в этом извещении, вопреки его потребностям.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При этом, Комиссия отмечает, что, как было указано ранее, требования к характеристикам предполагаемого к поставке товара заказчиком сформулированы в соответствии с позицией КТРУ </w:t>
      </w:r>
      <w:r>
        <w:rPr>
          <w:rStyle w:val="CharStyle13"/>
          <w:lang w:val="en-US" w:eastAsia="en-US"/>
        </w:rPr>
        <w:t>26.60.11.113-00000097.</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данном случае установление в извещении о проведении электронного аукциона иных характеристик товара (исключение из описания объекта закупки какой-либо из значимых для заказчика характеристик, установленных в соответствии с позицией КТРУ </w:t>
      </w:r>
      <w:r>
        <w:rPr>
          <w:rStyle w:val="CharStyle13"/>
          <w:lang w:val="en-US" w:eastAsia="en-US"/>
        </w:rPr>
        <w:t xml:space="preserve">26.60.11.113-00000097) </w:t>
      </w:r>
      <w:r>
        <w:rPr>
          <w:rStyle w:val="CharStyle13"/>
        </w:rPr>
        <w:t>не будет служить цели удовлетворения потребности заказчика. Доказательств обратного Комиссии представлено не было.</w:t>
      </w:r>
    </w:p>
    <w:p>
      <w:pPr>
        <w:pStyle w:val="Style12"/>
        <w:keepNext w:val="0"/>
        <w:keepLines w:val="0"/>
        <w:widowControl w:val="0"/>
        <w:shd w:val="clear" w:color="auto" w:fill="auto"/>
        <w:bidi w:val="0"/>
        <w:spacing w:before="0" w:after="0" w:line="240" w:lineRule="auto"/>
        <w:ind w:left="0" w:right="0" w:firstLine="720"/>
        <w:jc w:val="both"/>
      </w:pPr>
      <w:r>
        <w:rPr>
          <w:rStyle w:val="CharStyle13"/>
        </w:rPr>
        <w:t>Отсутствие у каких-либо лиц 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 закупки.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 учетом вышеизложенного, Комиссия пришла к выводу о том, что заказчик вправе включить в извещение о проведении электронного аукциона такие характеристики товара, которые отвечают именно его потребностям, с учетом того обстоятельства, что закупка товара осуществляется заказчиком в целях достижения максимального результата при оказании своевременной и качественной медицинской помощи, с соблюдением принципов, закрепленных в статье </w:t>
      </w:r>
      <w:r>
        <w:rPr>
          <w:rStyle w:val="CharStyle13"/>
          <w:lang w:val="en-US" w:eastAsia="en-US"/>
        </w:rPr>
        <w:t xml:space="preserve">41 </w:t>
      </w:r>
      <w:r>
        <w:rPr>
          <w:rStyle w:val="CharStyle13"/>
        </w:rPr>
        <w:t xml:space="preserve">Конституции Российской Федерации и статье </w:t>
      </w:r>
      <w:r>
        <w:rPr>
          <w:rStyle w:val="CharStyle13"/>
          <w:lang w:val="en-US" w:eastAsia="en-US"/>
        </w:rPr>
        <w:t xml:space="preserve">4 </w:t>
      </w:r>
      <w:r>
        <w:rPr>
          <w:rStyle w:val="CharStyle13"/>
        </w:rPr>
        <w:t xml:space="preserve">Федерального закона от </w:t>
      </w:r>
      <w:r>
        <w:rPr>
          <w:rStyle w:val="CharStyle13"/>
          <w:lang w:val="en-US" w:eastAsia="en-US"/>
        </w:rPr>
        <w:t xml:space="preserve">21.11.2011№ 323- </w:t>
      </w:r>
      <w:r>
        <w:rPr>
          <w:rStyle w:val="CharStyle13"/>
        </w:rPr>
        <w:t>ФЗ «Об основах здоровья граждан в Российской Федерации», предусматривающих обеспечение прав пациентов в сфере охраны здоровья, приоритет интересов пациента, доступность и качество при оказании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По смыслу статьи </w:t>
      </w:r>
      <w:r>
        <w:rPr>
          <w:rStyle w:val="CharStyle13"/>
          <w:lang w:val="en-US" w:eastAsia="en-US"/>
        </w:rPr>
        <w:t xml:space="preserve">33 </w:t>
      </w:r>
      <w:r>
        <w:rPr>
          <w:rStyle w:val="CharStyle13"/>
        </w:rPr>
        <w:t>Закона о контрактной системе, характеристики объекта закупки устанавливаются заказчиком исходя из цели заключения государственного контракта и соответствующих, определенных с учетом данных целей, потребностей заказчика. В рассматриваемом случае, в описании объекта закупки извещения о проведении электронного аукциона установлены четкие и конкретные требования к закупаемым товарам с учетом потребности заказчика, что не противоречит требованиям действующего законодательства.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рассматриваемый довод Заявителя признается Комиссией несостоятельным.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извещении о закупке также установлено ограничение в соответствии с Постановлением Правительства РФ </w:t>
      </w:r>
      <w:r>
        <w:rPr>
          <w:rStyle w:val="CharStyle13"/>
          <w:lang w:val="en-US" w:eastAsia="en-US"/>
        </w:rPr>
        <w:t xml:space="preserve">№ 1875 </w:t>
      </w:r>
      <w:r>
        <w:rPr>
          <w:rStyle w:val="CharStyle13"/>
        </w:rPr>
        <w:t xml:space="preserve">от </w:t>
      </w:r>
      <w:r>
        <w:rPr>
          <w:rStyle w:val="CharStyle13"/>
          <w:lang w:val="en-US" w:eastAsia="en-US"/>
        </w:rPr>
        <w:t xml:space="preserve">23.12.2024 </w:t>
      </w:r>
      <w:r>
        <w:rPr>
          <w:rStyle w:val="CharStyle13"/>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3"/>
          <w:lang w:val="en-US" w:eastAsia="en-US"/>
        </w:rPr>
        <w:t xml:space="preserve">— </w:t>
      </w:r>
      <w:r>
        <w:rPr>
          <w:rStyle w:val="CharStyle13"/>
        </w:rPr>
        <w:t xml:space="preserve">ПП РФ </w:t>
      </w:r>
      <w:r>
        <w:rPr>
          <w:rStyle w:val="CharStyle13"/>
          <w:lang w:val="en-US" w:eastAsia="en-US"/>
        </w:rPr>
        <w:t>№ 1875).</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пункту </w:t>
      </w:r>
      <w:r>
        <w:rPr>
          <w:rStyle w:val="CharStyle13"/>
          <w:lang w:val="en-US" w:eastAsia="en-US"/>
        </w:rPr>
        <w:t xml:space="preserve">5 </w:t>
      </w:r>
      <w:r>
        <w:rPr>
          <w:rStyle w:val="CharStyle13"/>
        </w:rPr>
        <w:t xml:space="preserve">Правил использования КТРУ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13"/>
          <w:lang w:val="en-US" w:eastAsia="en-US"/>
        </w:rPr>
        <w:t xml:space="preserve">33 </w:t>
      </w:r>
      <w:r>
        <w:rPr>
          <w:rStyle w:val="CharStyle13"/>
        </w:rPr>
        <w:t>Закона о контрактной системе, которые не предусмотрены в позиции каталога, за исключением случаев:</w:t>
      </w:r>
    </w:p>
    <w:p>
      <w:pPr>
        <w:pStyle w:val="Style12"/>
        <w:keepNext w:val="0"/>
        <w:keepLines w:val="0"/>
        <w:widowControl w:val="0"/>
        <w:numPr>
          <w:ilvl w:val="0"/>
          <w:numId w:val="3"/>
        </w:numPr>
        <w:shd w:val="clear" w:color="auto" w:fill="auto"/>
        <w:tabs>
          <w:tab w:pos="1038" w:val="left"/>
        </w:tabs>
        <w:bidi w:val="0"/>
        <w:spacing w:before="0" w:after="0" w:line="240" w:lineRule="auto"/>
        <w:ind w:left="0" w:right="0" w:firstLine="720"/>
        <w:jc w:val="both"/>
      </w:pPr>
      <w:r>
        <w:rPr>
          <w:rStyle w:val="CharStyle13"/>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w:t>
      </w:r>
      <w:r>
        <w:rPr>
          <w:rStyle w:val="CharStyle13"/>
          <w:lang w:val="en-US" w:eastAsia="en-US"/>
        </w:rPr>
        <w:t xml:space="preserve">25, 26 </w:t>
      </w:r>
      <w:r>
        <w:rPr>
          <w:rStyle w:val="CharStyle13"/>
        </w:rPr>
        <w:t xml:space="preserve">и </w:t>
      </w:r>
      <w:r>
        <w:rPr>
          <w:rStyle w:val="CharStyle13"/>
          <w:lang w:val="en-US" w:eastAsia="en-US"/>
        </w:rPr>
        <w:t xml:space="preserve">32 </w:t>
      </w:r>
      <w:r>
        <w:rPr>
          <w:rStyle w:val="CharStyle13"/>
        </w:rPr>
        <w:t xml:space="preserve">приложения </w:t>
      </w:r>
      <w:r>
        <w:rPr>
          <w:rStyle w:val="CharStyle13"/>
          <w:lang w:val="en-US" w:eastAsia="en-US"/>
        </w:rPr>
        <w:t xml:space="preserve">№ 1 </w:t>
      </w:r>
      <w:r>
        <w:rPr>
          <w:rStyle w:val="CharStyle13"/>
        </w:rPr>
        <w:t xml:space="preserve">к постановлению Правительства Российской Федерации от </w:t>
      </w:r>
      <w:r>
        <w:rPr>
          <w:rStyle w:val="CharStyle13"/>
          <w:lang w:val="en-US" w:eastAsia="en-US"/>
        </w:rPr>
        <w:t xml:space="preserve">23 </w:t>
      </w:r>
      <w:r>
        <w:rPr>
          <w:rStyle w:val="CharStyle13"/>
        </w:rPr>
        <w:t xml:space="preserve">декабря </w:t>
      </w:r>
      <w:r>
        <w:rPr>
          <w:rStyle w:val="CharStyle13"/>
          <w:lang w:val="en-US" w:eastAsia="en-US"/>
        </w:rPr>
        <w:t xml:space="preserve">2024 № 1875 </w:t>
      </w:r>
      <w:r>
        <w:rPr>
          <w:rStyle w:val="CharStyle13"/>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w:t>
      </w:r>
      <w:r>
        <w:rPr>
          <w:rStyle w:val="CharStyle13"/>
          <w:lang w:val="en-US" w:eastAsia="en-US"/>
        </w:rPr>
        <w:t xml:space="preserve">191 - 361 </w:t>
      </w:r>
      <w:r>
        <w:rPr>
          <w:rStyle w:val="CharStyle13"/>
        </w:rPr>
        <w:t xml:space="preserve">приложения </w:t>
      </w:r>
      <w:r>
        <w:rPr>
          <w:rStyle w:val="CharStyle13"/>
          <w:lang w:val="en-US" w:eastAsia="en-US"/>
        </w:rPr>
        <w:t xml:space="preserve">№ 2 </w:t>
      </w:r>
      <w:r>
        <w:rPr>
          <w:rStyle w:val="CharStyle13"/>
        </w:rPr>
        <w:t xml:space="preserve">к ПП РФ </w:t>
      </w:r>
      <w:r>
        <w:rPr>
          <w:rStyle w:val="CharStyle13"/>
          <w:lang w:val="en-US" w:eastAsia="en-US"/>
        </w:rPr>
        <w:t xml:space="preserve">№ 1875, </w:t>
      </w:r>
      <w:r>
        <w:rPr>
          <w:rStyle w:val="CharStyle13"/>
        </w:rPr>
        <w:t xml:space="preserve">применяются предусмотренные пунктом </w:t>
      </w:r>
      <w:r>
        <w:rPr>
          <w:rStyle w:val="CharStyle13"/>
          <w:lang w:val="en-US" w:eastAsia="en-US"/>
        </w:rPr>
        <w:t xml:space="preserve">1 </w:t>
      </w:r>
      <w:r>
        <w:rPr>
          <w:rStyle w:val="CharStyle13"/>
        </w:rPr>
        <w:t xml:space="preserve">ПП РФ </w:t>
      </w:r>
      <w:r>
        <w:rPr>
          <w:rStyle w:val="CharStyle13"/>
          <w:lang w:val="en-US" w:eastAsia="en-US"/>
        </w:rPr>
        <w:t xml:space="preserve">№ 1875 </w:t>
      </w:r>
      <w:r>
        <w:rPr>
          <w:rStyle w:val="CharStyle13"/>
        </w:rPr>
        <w:t>запрет, ограничение соответственно.</w:t>
      </w:r>
    </w:p>
    <w:p>
      <w:pPr>
        <w:pStyle w:val="Style12"/>
        <w:keepNext w:val="0"/>
        <w:keepLines w:val="0"/>
        <w:widowControl w:val="0"/>
        <w:numPr>
          <w:ilvl w:val="0"/>
          <w:numId w:val="3"/>
        </w:numPr>
        <w:shd w:val="clear" w:color="auto" w:fill="auto"/>
        <w:tabs>
          <w:tab w:pos="1052" w:val="left"/>
        </w:tabs>
        <w:bidi w:val="0"/>
        <w:spacing w:before="0" w:after="0" w:line="240" w:lineRule="auto"/>
        <w:ind w:left="0" w:right="0" w:firstLine="720"/>
        <w:jc w:val="both"/>
      </w:pPr>
      <w:r>
        <w:rPr>
          <w:rStyle w:val="CharStyle13"/>
        </w:rPr>
        <w:t xml:space="preserve">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w:t>
      </w:r>
      <w:r>
        <w:rPr>
          <w:rStyle w:val="CharStyle13"/>
          <w:lang w:val="en-US" w:eastAsia="en-US"/>
        </w:rPr>
        <w:t xml:space="preserve">5 </w:t>
      </w:r>
      <w:r>
        <w:rPr>
          <w:rStyle w:val="CharStyle13"/>
        </w:rPr>
        <w:t xml:space="preserve">статьи </w:t>
      </w:r>
      <w:r>
        <w:rPr>
          <w:rStyle w:val="CharStyle13"/>
          <w:lang w:val="en-US" w:eastAsia="en-US"/>
        </w:rPr>
        <w:t xml:space="preserve">33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Проанализировав содержание позиции КТРУ </w:t>
      </w:r>
      <w:r>
        <w:rPr>
          <w:rStyle w:val="CharStyle13"/>
          <w:lang w:val="en-US" w:eastAsia="en-US"/>
        </w:rPr>
        <w:t xml:space="preserve">26.60.11.113-00000097, </w:t>
      </w:r>
      <w:r>
        <w:rPr>
          <w:rStyle w:val="CharStyle13"/>
        </w:rPr>
        <w:t>фактическое содержание описания объекта закупки, сформированное при заполнении экранных форм веб</w:t>
        <w:softHyphen/>
        <w:t xml:space="preserve">интерфейса ЕИС и соответствующего электронного документа, а также сопоставив их содержание между собой, Комиссия установила, что, определив в описании объекта закупки объективно требуемые характеристики и их показатели, заказчик фактически руководствовался требованиями КТРУ </w:t>
      </w:r>
      <w:r>
        <w:rPr>
          <w:rStyle w:val="CharStyle13"/>
          <w:lang w:val="en-US" w:eastAsia="en-US"/>
        </w:rPr>
        <w:t xml:space="preserve">26.60.11.113-00000097, </w:t>
      </w:r>
      <w:r>
        <w:rPr>
          <w:rStyle w:val="CharStyle13"/>
        </w:rPr>
        <w:t xml:space="preserve">не допустил отступления от них, не использовал иные показатели таких характеристик, отличные от КТРУ </w:t>
      </w:r>
      <w:r>
        <w:rPr>
          <w:rStyle w:val="CharStyle13"/>
          <w:lang w:val="en-US" w:eastAsia="en-US"/>
        </w:rPr>
        <w:t xml:space="preserve">26.60.11.113-00000097. </w:t>
      </w:r>
      <w:r>
        <w:rPr>
          <w:rStyle w:val="CharStyle13"/>
        </w:rPr>
        <w:t xml:space="preserve">Следовательно, указанные действия совершены во исполнение пункта </w:t>
      </w:r>
      <w:r>
        <w:rPr>
          <w:rStyle w:val="CharStyle13"/>
          <w:lang w:val="en-US" w:eastAsia="en-US"/>
        </w:rPr>
        <w:t xml:space="preserve">5 </w:t>
      </w:r>
      <w:r>
        <w:rPr>
          <w:rStyle w:val="CharStyle13"/>
        </w:rPr>
        <w:t>Правил использования КТРУ, не вступают в противоречие с требованиями законодательства о контрактной системе в сфере закупок, вопреки утверждению Заявителя об обратном.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этой связи, поскольку заказчик фактически описал требуемый ему к поставке товар в строгом соответствии с содержанием позиции КТРУ </w:t>
      </w:r>
      <w:r>
        <w:rPr>
          <w:rStyle w:val="CharStyle13"/>
          <w:lang w:val="en-US" w:eastAsia="en-US"/>
        </w:rPr>
        <w:t xml:space="preserve">26.60.11.113-00000097, </w:t>
      </w:r>
      <w:r>
        <w:rPr>
          <w:rStyle w:val="CharStyle13"/>
        </w:rPr>
        <w:t>довод Заявителя признан Комиссией несостоятельным.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отношении доводов Заявителя о том, что установленные заказчиком требования в описании объекта закупки привели к ограничению конкуренции, поскольку характеристикам указанным в описании объекта закупки, в полном объеме соответствует продукция только одного производителя, а также на участие в электронном аукционе подана единственная заявка, Комиссия сообщает следующее.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Положения статьи </w:t>
      </w:r>
      <w:r>
        <w:rPr>
          <w:rStyle w:val="CharStyle13"/>
          <w:lang w:val="en-US" w:eastAsia="en-US"/>
        </w:rPr>
        <w:t xml:space="preserve">6 </w:t>
      </w:r>
      <w:r>
        <w:rPr>
          <w:rStyle w:val="CharStyle13"/>
        </w:rPr>
        <w:t>Закона о контрактной системе устанавливают, что контрактная система в сфере закупок основывается на принципах открытости, прозрачности информации о контрактной</w:t>
      </w:r>
    </w:p>
    <w:p>
      <w:pPr>
        <w:pStyle w:val="Style12"/>
        <w:keepNext w:val="0"/>
        <w:keepLines w:val="0"/>
        <w:widowControl w:val="0"/>
        <w:shd w:val="clear" w:color="auto" w:fill="auto"/>
        <w:bidi w:val="0"/>
        <w:spacing w:before="0" w:after="0" w:line="240" w:lineRule="auto"/>
        <w:ind w:left="0" w:right="0" w:firstLine="0"/>
        <w:jc w:val="both"/>
      </w:pPr>
      <w:r>
        <w:rPr>
          <w:rStyle w:val="CharStyle13"/>
        </w:rPr>
        <w:t>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Законом о контрактной системе,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 (часть </w:t>
      </w:r>
      <w:r>
        <w:rPr>
          <w:rStyle w:val="CharStyle13"/>
          <w:lang w:val="en-US" w:eastAsia="en-US"/>
        </w:rPr>
        <w:t xml:space="preserve">1 </w:t>
      </w:r>
      <w:r>
        <w:rPr>
          <w:rStyle w:val="CharStyle13"/>
        </w:rPr>
        <w:t xml:space="preserve">статьи </w:t>
      </w:r>
      <w:r>
        <w:rPr>
          <w:rStyle w:val="CharStyle13"/>
          <w:lang w:val="en-US" w:eastAsia="en-US"/>
        </w:rPr>
        <w:t xml:space="preserve">12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принципы обеспечения конкуренции и ответственности за результативность обеспечения государственных и муниципальных нужд, эффективности осуществления закупок являются равнозначными и подлежащими соблюдению в равной степени во всех случаях.</w:t>
      </w:r>
    </w:p>
    <w:p>
      <w:pPr>
        <w:pStyle w:val="Style12"/>
        <w:keepNext w:val="0"/>
        <w:keepLines w:val="0"/>
        <w:widowControl w:val="0"/>
        <w:shd w:val="clear" w:color="auto" w:fill="auto"/>
        <w:bidi w:val="0"/>
        <w:spacing w:before="0" w:after="0" w:line="240" w:lineRule="auto"/>
        <w:ind w:left="0" w:right="0" w:firstLine="720"/>
        <w:jc w:val="both"/>
      </w:pPr>
      <w:r>
        <w:rPr>
          <w:rStyle w:val="CharStyle13"/>
        </w:rPr>
        <w:t>Более того, основной задачей законодательства, устанавливающего порядок проведения торгов в целях удовлетворения государственных и муниципальных нужд, является не столько обеспечение максимально широкого круга участников,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В торгах могут участвовать лишь те лица, которые соответствуют названным целям. При этом для достижения указанной цели заказчик вправе в необходимой степени детализировать объект закупки (его характеристики) и в торгах могут участвовать лишь те лица, которые соответствуют названным целям. Таким образом, включение в документацию о торгах условий, которые в итоге приводят к исключению из круга участников закупки лиц, не отвечающих таким целям, не может рассматриваться как ограничение доступа к участию в торгах.</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Возможное сужение круга участников закупки с одновременным повышением эффективности использования финансирования (обеспечением его экономии) не может само по себе рассматриваться в качестве нарушения требований Закона о защите конкуренции. Аналогичная правовая позиция отражена в Обзоре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w:t>
      </w:r>
      <w:r>
        <w:rPr>
          <w:rStyle w:val="CharStyle13"/>
          <w:lang w:val="en-US" w:eastAsia="en-US"/>
        </w:rPr>
        <w:t>28.06.2017).</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Закон о защите конкуренции не регулирует отношения, указанные в части </w:t>
      </w:r>
      <w:r>
        <w:rPr>
          <w:rStyle w:val="CharStyle13"/>
          <w:lang w:val="en-US" w:eastAsia="en-US"/>
        </w:rPr>
        <w:t xml:space="preserve">1 </w:t>
      </w:r>
      <w:r>
        <w:rPr>
          <w:rStyle w:val="CharStyle13"/>
        </w:rPr>
        <w:t xml:space="preserve">статьи </w:t>
      </w:r>
      <w:r>
        <w:rPr>
          <w:rStyle w:val="CharStyle13"/>
          <w:lang w:val="en-US" w:eastAsia="en-US"/>
        </w:rPr>
        <w:t xml:space="preserve">1 </w:t>
      </w:r>
      <w:r>
        <w:rPr>
          <w:rStyle w:val="CharStyle13"/>
        </w:rPr>
        <w:t>Закона о контрактной системе, поскольку из положений Закона о защите конкуренции следует общий запрет на осуществление действий, которые приводят или могут привести к недопущению ограничению или устранению конкуренции при проведении торгов.</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частью </w:t>
      </w:r>
      <w:r>
        <w:rPr>
          <w:rStyle w:val="CharStyle13"/>
          <w:lang w:val="en-US" w:eastAsia="en-US"/>
        </w:rPr>
        <w:t xml:space="preserve">1 </w:t>
      </w:r>
      <w:r>
        <w:rPr>
          <w:rStyle w:val="CharStyle13"/>
        </w:rPr>
        <w:t xml:space="preserve">статьи </w:t>
      </w:r>
      <w:r>
        <w:rPr>
          <w:rStyle w:val="CharStyle13"/>
          <w:lang w:val="en-US" w:eastAsia="en-US"/>
        </w:rPr>
        <w:t xml:space="preserve">2 </w:t>
      </w:r>
      <w:r>
        <w:rPr>
          <w:rStyle w:val="CharStyle13"/>
        </w:rPr>
        <w:t>Закона о контрактной системе, Закон о защите конкуренции также не входит в систему законодательства о контрактной системе в сфере закупок вследствие чего Комиссия не может давать оценку действий заказчика, уполномоченного органа при проведении закупки на предмет наличия признаков нарушения Закона о защите конкуренции.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При этом жалоба не содержит доказательств нарушения субъектами контроля антимонопольных требований к торгам, что могло бы быть основанием для передачи материалов жалобы соответствующему структурному подразделению Красноярского УФАС России для рассмотрения вопроса о возбуждении антимонопольного дела по признакам нарушения требований статьи </w:t>
      </w:r>
      <w:r>
        <w:rPr>
          <w:rStyle w:val="CharStyle13"/>
          <w:lang w:val="en-US" w:eastAsia="en-US"/>
        </w:rPr>
        <w:t xml:space="preserve">17 </w:t>
      </w:r>
      <w:r>
        <w:rPr>
          <w:rStyle w:val="CharStyle13"/>
        </w:rPr>
        <w:t>Закона о защите конкуренции.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Выше по тексту настоящего решения Комиссией установлено, что при формировании описания объекта закупки заказчик исходил из требований как позиции КТРУ </w:t>
      </w:r>
      <w:r>
        <w:rPr>
          <w:rStyle w:val="CharStyle13"/>
          <w:lang w:val="en-US" w:eastAsia="en-US"/>
        </w:rPr>
        <w:t>26.60.11.113</w:t>
        <w:softHyphen/>
        <w:t xml:space="preserve">00000097, </w:t>
      </w:r>
      <w:r>
        <w:rPr>
          <w:rStyle w:val="CharStyle13"/>
        </w:rPr>
        <w:t>так и фактической потребности заказчика, обусловленной получением оборудования необходимого для достижения максимального результата при оказании своевременной и качественной медицинской помощи.</w:t>
      </w:r>
    </w:p>
    <w:p>
      <w:pPr>
        <w:pStyle w:val="Style12"/>
        <w:keepNext w:val="0"/>
        <w:keepLines w:val="0"/>
        <w:widowControl w:val="0"/>
        <w:shd w:val="clear" w:color="auto" w:fill="auto"/>
        <w:bidi w:val="0"/>
        <w:spacing w:before="0" w:after="0" w:line="240" w:lineRule="auto"/>
        <w:ind w:left="0" w:right="0" w:firstLine="720"/>
        <w:jc w:val="both"/>
        <w:sectPr>
          <w:footnotePr>
            <w:pos w:val="pageBottom"/>
            <w:numFmt w:val="decimal"/>
            <w:numRestart w:val="continuous"/>
          </w:footnotePr>
          <w:type w:val="continuous"/>
          <w:pgSz w:w="11900" w:h="16840"/>
          <w:pgMar w:top="893" w:right="538" w:bottom="899" w:left="538" w:header="0" w:footer="3" w:gutter="566"/>
          <w:cols w:space="720"/>
          <w:noEndnote/>
          <w:rtlGutter w:val="0"/>
          <w:docGrid w:linePitch="360"/>
        </w:sectPr>
      </w:pPr>
      <w:r>
        <w:rPr>
          <w:rStyle w:val="CharStyle13"/>
        </w:rPr>
        <w:t>Из документов, представленных заказчиком, следует, что при формировании описания</w:t>
      </w:r>
    </w:p>
    <w:p>
      <w:pPr>
        <w:pStyle w:val="Style12"/>
        <w:keepNext w:val="0"/>
        <w:keepLines w:val="0"/>
        <w:widowControl w:val="0"/>
        <w:shd w:val="clear" w:color="auto" w:fill="auto"/>
        <w:bidi w:val="0"/>
        <w:spacing w:before="0" w:after="0" w:line="240" w:lineRule="auto"/>
        <w:ind w:left="0" w:right="0" w:firstLine="0"/>
        <w:jc w:val="both"/>
      </w:pPr>
      <w:r>
        <w:rPr>
          <w:rStyle w:val="CharStyle13"/>
        </w:rPr>
        <w:t>объекта закупки и обосновании начальной (максимальной) цены контракта на поставку товара будучи участником гражданских правоотношений, добросовестно исходил из наличия на момент проведении закупки на рынке предложений о поставке оборудования (различных моделей) не менее чем двух независимых производителей, характеристики которого соответствуют описанию объекта закупки.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необоснованным является утверждение Заявителя о том, что Описание объекта закупки соответствует продукции исключительно иностранного производства более низкого качества.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Более того, учитывая факт исполнения заказчиком законодательно установленной обязанности по описанию объекта закупки исключительно в рамках позиции КТРУ, факт наличия/отсутствия эквивалентов не имеет существенного правового значения в рассматриваемом случае.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данном случае поскольку заказчик в необходимой ему мере детализировал объект закупки, исходя из своей потребности, не выходя за рамки позиции КТРУ </w:t>
      </w:r>
      <w:r>
        <w:rPr>
          <w:rStyle w:val="CharStyle13"/>
          <w:lang w:val="en-US" w:eastAsia="en-US"/>
        </w:rPr>
        <w:t xml:space="preserve">26.60.11.113-00000097 </w:t>
      </w:r>
      <w:r>
        <w:rPr>
          <w:rStyle w:val="CharStyle13"/>
        </w:rPr>
        <w:t>исходя из цели получения оборудования, необходимого для достижения максимального результата при оказании своевременной и качественной медицинской помощи, то включение в извещение о проведении электронного аукциона оспариваемых Заявителем характеристик товара, которые в итоге приводят к исключению из круга участников закупки лиц, не отвечающих таким целям, не способных поставить требуемый заказчику товар, не может рассматриваться как ограничение доступа к участию в электронной процедуре.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Учитывая изложенное, Комиссия приходит к выводу о том, что заявленные подателем жалобы доводы в рассматриваемой части не находят своего подтверждения в ходе рассмотрения жалобы Комиссией по существу.</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отношении доводов Заявителя о том, что при проведении электронного аукциона заказчиком неправомерно не применены положения Постановления </w:t>
      </w:r>
      <w:r>
        <w:rPr>
          <w:rStyle w:val="CharStyle13"/>
          <w:lang w:val="en-US" w:eastAsia="en-US"/>
        </w:rPr>
        <w:t xml:space="preserve">№ 1236, </w:t>
      </w:r>
      <w:r>
        <w:rPr>
          <w:rStyle w:val="CharStyle13"/>
        </w:rPr>
        <w:t xml:space="preserve">не однозначно сформулированы требования в отношении программного обеспечения, фактически закупается программа </w:t>
      </w:r>
      <w:r>
        <w:rPr>
          <w:rStyle w:val="CharStyle13"/>
          <w:lang w:val="en-US" w:eastAsia="en-US"/>
        </w:rPr>
        <w:t xml:space="preserve">DICOM, </w:t>
      </w:r>
      <w:r>
        <w:rPr>
          <w:rStyle w:val="CharStyle13"/>
        </w:rPr>
        <w:t>которая является самостоятельным продуктом и ее необходимо закупать отдельно, Комиссия сообщает следующее.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На основании пункта </w:t>
      </w:r>
      <w:r>
        <w:rPr>
          <w:rStyle w:val="CharStyle13"/>
          <w:lang w:val="en-US" w:eastAsia="en-US"/>
        </w:rPr>
        <w:t xml:space="preserve">15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w:t>
      </w:r>
      <w:r>
        <w:rPr>
          <w:rStyle w:val="CharStyle13"/>
          <w:lang w:val="en-US" w:eastAsia="en-US"/>
        </w:rPr>
        <w:t xml:space="preserve">14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Заявка на участие в закупке должна содержать информацию и документы предусмотренные, в том числе, пунктом </w:t>
      </w:r>
      <w:r>
        <w:rPr>
          <w:rStyle w:val="CharStyle13"/>
          <w:lang w:val="en-US" w:eastAsia="en-US"/>
        </w:rPr>
        <w:t xml:space="preserve">5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43 </w:t>
      </w:r>
      <w:r>
        <w:rPr>
          <w:rStyle w:val="CharStyle13"/>
        </w:rPr>
        <w:t xml:space="preserve">Закона о контрактной системе (часть </w:t>
      </w:r>
      <w:r>
        <w:rPr>
          <w:rStyle w:val="CharStyle13"/>
          <w:lang w:val="en-US" w:eastAsia="en-US"/>
        </w:rPr>
        <w:t xml:space="preserve">1 </w:t>
      </w:r>
      <w:r>
        <w:rPr>
          <w:rStyle w:val="CharStyle13"/>
        </w:rPr>
        <w:t xml:space="preserve">статьи </w:t>
      </w:r>
      <w:r>
        <w:rPr>
          <w:rStyle w:val="CharStyle13"/>
          <w:lang w:val="en-US" w:eastAsia="en-US"/>
        </w:rPr>
        <w:t xml:space="preserve">49 </w:t>
      </w:r>
      <w:r>
        <w:rPr>
          <w:rStyle w:val="CharStyle13"/>
        </w:rPr>
        <w:t>Закона о контрактной системе).</w:t>
      </w:r>
    </w:p>
    <w:p>
      <w:pPr>
        <w:pStyle w:val="Style12"/>
        <w:keepNext w:val="0"/>
        <w:keepLines w:val="0"/>
        <w:widowControl w:val="0"/>
        <w:shd w:val="clear" w:color="auto" w:fill="auto"/>
        <w:bidi w:val="0"/>
        <w:spacing w:before="0" w:after="0" w:line="262" w:lineRule="auto"/>
        <w:ind w:left="0" w:right="0" w:firstLine="720"/>
        <w:jc w:val="both"/>
      </w:pPr>
      <w:r>
        <w:rPr>
          <w:rStyle w:val="CharStyle13"/>
        </w:rPr>
        <w:t xml:space="preserve">Пунктом </w:t>
      </w:r>
      <w:r>
        <w:rPr>
          <w:rStyle w:val="CharStyle13"/>
          <w:lang w:val="en-US" w:eastAsia="en-US"/>
        </w:rPr>
        <w:t xml:space="preserve">5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43 </w:t>
      </w:r>
      <w:r>
        <w:rPr>
          <w:rStyle w:val="CharStyle13"/>
        </w:rPr>
        <w:t xml:space="preserve">Закона о контрактной системе предусмотрено, что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частями </w:t>
      </w:r>
      <w:r>
        <w:rPr>
          <w:rStyle w:val="CharStyle13"/>
          <w:lang w:val="en-US" w:eastAsia="en-US"/>
        </w:rPr>
        <w:t xml:space="preserve">3 </w:t>
      </w:r>
      <w:r>
        <w:rPr>
          <w:rStyle w:val="CharStyle13"/>
        </w:rPr>
        <w:t xml:space="preserve">и </w:t>
      </w:r>
      <w:r>
        <w:rPr>
          <w:rStyle w:val="CharStyle13"/>
          <w:lang w:val="en-US" w:eastAsia="en-US"/>
        </w:rPr>
        <w:t xml:space="preserve">4 </w:t>
      </w:r>
      <w:r>
        <w:rPr>
          <w:rStyle w:val="CharStyle13"/>
        </w:rPr>
        <w:t xml:space="preserve">статьи </w:t>
      </w:r>
      <w:r>
        <w:rPr>
          <w:rStyle w:val="CharStyle13"/>
          <w:lang w:val="en-US" w:eastAsia="en-US"/>
        </w:rPr>
        <w:t xml:space="preserve">14 </w:t>
      </w:r>
      <w:r>
        <w:rPr>
          <w:rStyle w:val="CharStyle13"/>
        </w:rPr>
        <w:t xml:space="preserve">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w:t>
      </w:r>
      <w:r>
        <w:rPr>
          <w:rStyle w:val="CharStyle13"/>
          <w:lang w:val="en-US" w:eastAsia="en-US"/>
        </w:rPr>
        <w:t>2025-13158</w:t>
      </w:r>
    </w:p>
    <w:p>
      <w:pPr>
        <w:pStyle w:val="Style12"/>
        <w:keepNext w:val="0"/>
        <w:keepLines w:val="0"/>
        <w:widowControl w:val="0"/>
        <w:shd w:val="clear" w:color="auto" w:fill="auto"/>
        <w:bidi w:val="0"/>
        <w:spacing w:before="0" w:after="0" w:line="240" w:lineRule="auto"/>
        <w:ind w:left="0" w:right="0" w:firstLine="0"/>
        <w:jc w:val="both"/>
      </w:pPr>
      <w:r>
        <w:rPr>
          <w:rStyle w:val="CharStyle13"/>
        </w:rPr>
        <w:t>иностранного государства или группы иностранных государств, работ, услуг, соответственно выполняемых, оказываемых иностранными лицам.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силу части </w:t>
      </w:r>
      <w:r>
        <w:rPr>
          <w:rStyle w:val="CharStyle13"/>
          <w:lang w:val="en-US" w:eastAsia="en-US"/>
        </w:rPr>
        <w:t xml:space="preserve">1 </w:t>
      </w:r>
      <w:r>
        <w:rPr>
          <w:rStyle w:val="CharStyle13"/>
        </w:rPr>
        <w:t xml:space="preserve">статьи </w:t>
      </w:r>
      <w:r>
        <w:rPr>
          <w:rStyle w:val="CharStyle13"/>
          <w:lang w:val="en-US" w:eastAsia="en-US"/>
        </w:rPr>
        <w:t xml:space="preserve">14 </w:t>
      </w:r>
      <w:r>
        <w:rPr>
          <w:rStyle w:val="CharStyle13"/>
        </w:rPr>
        <w:t>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части </w:t>
      </w:r>
      <w:r>
        <w:rPr>
          <w:rStyle w:val="CharStyle13"/>
          <w:lang w:val="en-US" w:eastAsia="en-US"/>
        </w:rPr>
        <w:t xml:space="preserve">3 </w:t>
      </w:r>
      <w:r>
        <w:rPr>
          <w:rStyle w:val="CharStyle13"/>
        </w:rPr>
        <w:t xml:space="preserve">статьи </w:t>
      </w:r>
      <w:r>
        <w:rPr>
          <w:rStyle w:val="CharStyle13"/>
          <w:lang w:val="en-US" w:eastAsia="en-US"/>
        </w:rPr>
        <w:t xml:space="preserve">14 </w:t>
      </w:r>
      <w:r>
        <w:rPr>
          <w:rStyle w:val="CharStyle13"/>
        </w:rPr>
        <w:t>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Во исполнение статьи </w:t>
      </w:r>
      <w:r>
        <w:rPr>
          <w:rStyle w:val="CharStyle13"/>
          <w:lang w:val="en-US" w:eastAsia="en-US"/>
        </w:rPr>
        <w:t xml:space="preserve">14 </w:t>
      </w:r>
      <w:r>
        <w:rPr>
          <w:rStyle w:val="CharStyle13"/>
        </w:rPr>
        <w:t xml:space="preserve">Закона о контрактной системе Правительством Российской Федерации принято ПП РФ </w:t>
      </w:r>
      <w:r>
        <w:rPr>
          <w:rStyle w:val="CharStyle13"/>
          <w:lang w:val="en-US" w:eastAsia="en-US"/>
        </w:rPr>
        <w:t>№ 1875.</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Приложением </w:t>
      </w:r>
      <w:r>
        <w:rPr>
          <w:rStyle w:val="CharStyle13"/>
          <w:lang w:val="en-US" w:eastAsia="en-US"/>
        </w:rPr>
        <w:t xml:space="preserve">№ 2 </w:t>
      </w:r>
      <w:r>
        <w:rPr>
          <w:rStyle w:val="CharStyle13"/>
        </w:rPr>
        <w:t xml:space="preserve">к ПП РФ </w:t>
      </w:r>
      <w:r>
        <w:rPr>
          <w:rStyle w:val="CharStyle13"/>
          <w:lang w:val="en-US" w:eastAsia="en-US"/>
        </w:rPr>
        <w:t xml:space="preserve">№ 1875 </w:t>
      </w:r>
      <w:r>
        <w:rPr>
          <w:rStyle w:val="CharStyle13"/>
        </w:rPr>
        <w:t xml:space="preserve">утвержден перечень товаров, происходящих из иностранных государств, в отношении которых устанавливаются ограничения для целей осуществления закупок для обеспечения государственных и муниципальных нужд (далее </w:t>
      </w:r>
      <w:r>
        <w:rPr>
          <w:rStyle w:val="CharStyle13"/>
          <w:lang w:val="en-US" w:eastAsia="en-US"/>
        </w:rPr>
        <w:t xml:space="preserve">– </w:t>
      </w:r>
      <w:r>
        <w:rPr>
          <w:rStyle w:val="CharStyle13"/>
        </w:rPr>
        <w:t xml:space="preserve">перечень), в который под позицией </w:t>
      </w:r>
      <w:r>
        <w:rPr>
          <w:rStyle w:val="CharStyle13"/>
          <w:lang w:val="en-US" w:eastAsia="en-US"/>
        </w:rPr>
        <w:t xml:space="preserve">299 </w:t>
      </w:r>
      <w:r>
        <w:rPr>
          <w:rStyle w:val="CharStyle13"/>
        </w:rPr>
        <w:t xml:space="preserve">включены аппараты ультразвукового сканирования имеющие код ОКПД2 </w:t>
      </w:r>
      <w:r>
        <w:rPr>
          <w:rStyle w:val="CharStyle13"/>
          <w:lang w:val="en-US" w:eastAsia="en-US"/>
        </w:rPr>
        <w:t>26.60.11.113.</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сведениям извещения о проведении электронного аукциона объектом закупки является товар (код ОКПД2 </w:t>
      </w:r>
      <w:r>
        <w:rPr>
          <w:rStyle w:val="CharStyle13"/>
          <w:lang w:val="en-US" w:eastAsia="en-US"/>
        </w:rPr>
        <w:t xml:space="preserve">26.60.11.113), </w:t>
      </w:r>
      <w:r>
        <w:rPr>
          <w:rStyle w:val="CharStyle13"/>
        </w:rPr>
        <w:t xml:space="preserve">который соответствует позиции </w:t>
      </w:r>
      <w:r>
        <w:rPr>
          <w:rStyle w:val="CharStyle13"/>
          <w:lang w:val="en-US" w:eastAsia="en-US"/>
        </w:rPr>
        <w:t xml:space="preserve">299 </w:t>
      </w:r>
      <w:r>
        <w:rPr>
          <w:rStyle w:val="CharStyle13"/>
        </w:rPr>
        <w:t xml:space="preserve">перечня следовательно, осуществляя закупку товаров, включенных в перечень, заказчик во исполнение требований статьи </w:t>
      </w:r>
      <w:r>
        <w:rPr>
          <w:rStyle w:val="CharStyle13"/>
          <w:lang w:val="en-US" w:eastAsia="en-US"/>
        </w:rPr>
        <w:t xml:space="preserve">14, </w:t>
      </w:r>
      <w:r>
        <w:rPr>
          <w:rStyle w:val="CharStyle13"/>
        </w:rPr>
        <w:t xml:space="preserve">пункта </w:t>
      </w:r>
      <w:r>
        <w:rPr>
          <w:rStyle w:val="CharStyle13"/>
          <w:lang w:val="en-US" w:eastAsia="en-US"/>
        </w:rPr>
        <w:t xml:space="preserve">15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был обязан установить ограничения в соответствии с ПП РФ </w:t>
      </w:r>
      <w:r>
        <w:rPr>
          <w:rStyle w:val="CharStyle13"/>
          <w:lang w:val="en-US" w:eastAsia="en-US"/>
        </w:rPr>
        <w:t>№ 1875.</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Комиссией установлено, что, согласно извещению о проведении электронного аукциона запрет, предусмотренный положениями Постановления </w:t>
      </w:r>
      <w:r>
        <w:rPr>
          <w:rStyle w:val="CharStyle13"/>
          <w:lang w:val="en-US" w:eastAsia="en-US"/>
        </w:rPr>
        <w:t xml:space="preserve">№ 1236, </w:t>
      </w:r>
      <w:r>
        <w:rPr>
          <w:rStyle w:val="CharStyle13"/>
        </w:rPr>
        <w:t>заказчиком не установлен.</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обоснование своей позиции Заявитель указывает, что закупаемый товар содержит в своем составе программное обеспечение (фактически закупается программа </w:t>
      </w:r>
      <w:r>
        <w:rPr>
          <w:rStyle w:val="CharStyle13"/>
          <w:lang w:val="en-US" w:eastAsia="en-US"/>
        </w:rPr>
        <w:t xml:space="preserve">DICOM), </w:t>
      </w:r>
      <w:r>
        <w:rPr>
          <w:rStyle w:val="CharStyle13"/>
        </w:rPr>
        <w:t xml:space="preserve">в связи с чем заказчик был обязан установить запрет на допуск программного обеспечения, происходящего из иностранных государств, предусмотренный Постановлением </w:t>
      </w:r>
      <w:r>
        <w:rPr>
          <w:rStyle w:val="CharStyle13"/>
          <w:lang w:val="en-US" w:eastAsia="en-US"/>
        </w:rPr>
        <w:t>№ 1236.</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Комиссия обращает внимание, что с </w:t>
      </w:r>
      <w:r>
        <w:rPr>
          <w:rStyle w:val="CharStyle13"/>
          <w:lang w:val="en-US" w:eastAsia="en-US"/>
        </w:rPr>
        <w:t xml:space="preserve">01.01.2025 </w:t>
      </w:r>
      <w:r>
        <w:rPr>
          <w:rStyle w:val="CharStyle13"/>
        </w:rPr>
        <w:t xml:space="preserve">пункты </w:t>
      </w:r>
      <w:r>
        <w:rPr>
          <w:rStyle w:val="CharStyle13"/>
          <w:lang w:val="en-US" w:eastAsia="en-US"/>
        </w:rPr>
        <w:t xml:space="preserve">2, 2(1) </w:t>
      </w:r>
      <w:r>
        <w:rPr>
          <w:rStyle w:val="CharStyle13"/>
        </w:rPr>
        <w:t xml:space="preserve">Постановления </w:t>
      </w:r>
      <w:r>
        <w:rPr>
          <w:rStyle w:val="CharStyle13"/>
          <w:lang w:val="en-US" w:eastAsia="en-US"/>
        </w:rPr>
        <w:t xml:space="preserve">№ 1236 </w:t>
      </w:r>
      <w:r>
        <w:rPr>
          <w:rStyle w:val="CharStyle13"/>
        </w:rPr>
        <w:t>утратили силу.</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Вместе с тем, в соответствии с подпунктом «с» пункта </w:t>
      </w:r>
      <w:r>
        <w:rPr>
          <w:rStyle w:val="CharStyle13"/>
          <w:lang w:val="en-US" w:eastAsia="en-US"/>
        </w:rPr>
        <w:t xml:space="preserve">4 </w:t>
      </w:r>
      <w:r>
        <w:rPr>
          <w:rStyle w:val="CharStyle13"/>
        </w:rPr>
        <w:t xml:space="preserve">ПП РФ </w:t>
      </w:r>
      <w:r>
        <w:rPr>
          <w:rStyle w:val="CharStyle13"/>
          <w:lang w:val="en-US" w:eastAsia="en-US"/>
        </w:rPr>
        <w:t xml:space="preserve">№ 1875, </w:t>
      </w:r>
      <w:r>
        <w:rPr>
          <w:rStyle w:val="CharStyle13"/>
        </w:rPr>
        <w:t xml:space="preserve">для целей ПП РФ </w:t>
      </w:r>
      <w:r>
        <w:rPr>
          <w:rStyle w:val="CharStyle13"/>
          <w:lang w:val="en-US" w:eastAsia="en-US"/>
        </w:rPr>
        <w:t xml:space="preserve">№ 1875 </w:t>
      </w:r>
      <w:r>
        <w:rPr>
          <w:rStyle w:val="CharStyle13"/>
        </w:rPr>
        <w:t xml:space="preserve">под программным обеспечением, указанным в позиции </w:t>
      </w:r>
      <w:r>
        <w:rPr>
          <w:rStyle w:val="CharStyle13"/>
          <w:lang w:val="en-US" w:eastAsia="en-US"/>
        </w:rPr>
        <w:t xml:space="preserve">146 </w:t>
      </w:r>
      <w:r>
        <w:rPr>
          <w:rStyle w:val="CharStyle13"/>
        </w:rPr>
        <w:t xml:space="preserve">приложения </w:t>
      </w:r>
      <w:r>
        <w:rPr>
          <w:rStyle w:val="CharStyle13"/>
          <w:lang w:val="en-US" w:eastAsia="en-US"/>
        </w:rPr>
        <w:t xml:space="preserve">№ 1 </w:t>
      </w:r>
      <w:r>
        <w:rPr>
          <w:rStyle w:val="CharStyle13"/>
        </w:rPr>
        <w:t xml:space="preserve">к ПП РФ </w:t>
      </w:r>
      <w:r>
        <w:rPr>
          <w:rStyle w:val="CharStyle13"/>
          <w:lang w:val="en-US" w:eastAsia="en-US"/>
        </w:rPr>
        <w:t xml:space="preserve">№ 1875, </w:t>
      </w:r>
      <w:r>
        <w:rPr>
          <w:rStyle w:val="CharStyle13"/>
        </w:rPr>
        <w:t>понимается программное обеспечение и (или) права на него возникшие вследствие: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поставки на материальном носителе и (или) в электронном виде по каналам связи, а также предоставления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pPr>
        <w:pStyle w:val="Style12"/>
        <w:keepNext w:val="0"/>
        <w:keepLines w:val="0"/>
        <w:widowControl w:val="0"/>
        <w:shd w:val="clear" w:color="auto" w:fill="auto"/>
        <w:bidi w:val="0"/>
        <w:spacing w:before="0" w:after="0" w:line="240" w:lineRule="auto"/>
        <w:ind w:left="0" w:right="0" w:firstLine="720"/>
        <w:jc w:val="both"/>
      </w:pPr>
      <w:r>
        <w:rPr>
          <w:rStyle w:val="CharStyle13"/>
        </w:rPr>
        <w:t>поставки, технического обслуживания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выполнения работ, оказания услуг, связанных с разработкой, модификацией, модернизацией программного обеспечения, в том числе в составе существующих автоматизированных систем</w:t>
      </w:r>
    </w:p>
    <w:p>
      <w:pPr>
        <w:pStyle w:val="Style12"/>
        <w:keepNext w:val="0"/>
        <w:keepLines w:val="0"/>
        <w:widowControl w:val="0"/>
        <w:shd w:val="clear" w:color="auto" w:fill="auto"/>
        <w:bidi w:val="0"/>
        <w:spacing w:before="0" w:after="0" w:line="240" w:lineRule="auto"/>
        <w:ind w:left="0" w:right="0" w:firstLine="0"/>
        <w:jc w:val="both"/>
      </w:pPr>
      <w:r>
        <w:rPr>
          <w:rStyle w:val="CharStyle13"/>
        </w:rPr>
        <w:t>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12"/>
        <w:keepNext w:val="0"/>
        <w:keepLines w:val="0"/>
        <w:widowControl w:val="0"/>
        <w:shd w:val="clear" w:color="auto" w:fill="auto"/>
        <w:bidi w:val="0"/>
        <w:spacing w:before="0" w:after="0" w:line="240" w:lineRule="auto"/>
        <w:ind w:left="0" w:right="0" w:firstLine="720"/>
        <w:jc w:val="both"/>
      </w:pPr>
      <w:r>
        <w:rPr>
          <w:rStyle w:val="CharStyle13"/>
        </w:rPr>
        <w:t>оказания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При закупке товара используется код ОКПД </w:t>
      </w:r>
      <w:r>
        <w:rPr>
          <w:rStyle w:val="CharStyle13"/>
          <w:lang w:val="en-US" w:eastAsia="en-US"/>
        </w:rPr>
        <w:t>2: 26.60.12.132.</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Все программы, поставляемые вместе с оборудованием являются микропрограммами. Микропрограмма </w:t>
      </w:r>
      <w:r>
        <w:rPr>
          <w:rStyle w:val="CharStyle13"/>
          <w:lang w:val="en-US" w:eastAsia="en-US"/>
        </w:rPr>
        <w:t xml:space="preserve">— </w:t>
      </w:r>
      <w:r>
        <w:rPr>
          <w:rStyle w:val="CharStyle13"/>
        </w:rPr>
        <w:t>это тип программного обеспечения, которое встраивается в аппаратные устройства для управления их функциональностью. Микропрограмма разрабатывается производителем оборудования для конкретных устройств. Она может быть установлена только на то устройство, для которого разработана и не может функционировать без аппаратной части.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отличие от программного обеспечения микропрограммы не находятся в свободном гражданском обороте и не приобретаются без соответствующего устройства.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Исходя из вышеизложенных положений ПП РФ </w:t>
      </w:r>
      <w:r>
        <w:rPr>
          <w:rStyle w:val="CharStyle13"/>
          <w:lang w:val="en-US" w:eastAsia="en-US"/>
        </w:rPr>
        <w:t xml:space="preserve">№ 1875 </w:t>
      </w:r>
      <w:r>
        <w:rPr>
          <w:rStyle w:val="CharStyle13"/>
        </w:rPr>
        <w:t xml:space="preserve">следует, что под программным обеспечением, в рамках ПП РФ </w:t>
      </w:r>
      <w:r>
        <w:rPr>
          <w:rStyle w:val="CharStyle13"/>
          <w:lang w:val="en-US" w:eastAsia="en-US"/>
        </w:rPr>
        <w:t xml:space="preserve">№ 1875, </w:t>
      </w:r>
      <w:r>
        <w:rPr>
          <w:rStyle w:val="CharStyle13"/>
        </w:rPr>
        <w:t xml:space="preserve">понимается в том числе поставка программного обеспечения на материальных носителях, а также поставка оборудования, на которое в рамках исполнения контракта, подлежит установка программного обеспечения. Аналогичные выводы отражены в письме Минфина России от </w:t>
      </w:r>
      <w:r>
        <w:rPr>
          <w:rStyle w:val="CharStyle13"/>
          <w:lang w:val="en-US" w:eastAsia="en-US"/>
        </w:rPr>
        <w:t>30.04.2020 № 24-03-06/35429.</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ходе анализа положений извещения о проведении электронного аукциона показал Комиссии, что таким извещением не предусмотрена необходимость установки программного обеспечения и передачи прав на него вследствие выполнения контрактных обязательств, кроме того в описании объекта закупки отсутствует требование о наличии в поставляемом оборудовании программы </w:t>
      </w:r>
      <w:r>
        <w:rPr>
          <w:rStyle w:val="CharStyle13"/>
          <w:lang w:val="en-US" w:eastAsia="en-US"/>
        </w:rPr>
        <w:t xml:space="preserve">DICOM, </w:t>
      </w:r>
      <w:r>
        <w:rPr>
          <w:rStyle w:val="CharStyle13"/>
        </w:rPr>
        <w:t>вопреки утверждению Заявителя об обратном.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Комиссией также установлено, что объект закупки, предмет контракта, не подпадает под определение программного обеспечения, установленного подпунктом «с» пункта </w:t>
      </w:r>
      <w:r>
        <w:rPr>
          <w:rStyle w:val="CharStyle13"/>
          <w:lang w:val="en-US" w:eastAsia="en-US"/>
        </w:rPr>
        <w:t xml:space="preserve">4 </w:t>
      </w:r>
      <w:r>
        <w:rPr>
          <w:rStyle w:val="CharStyle13"/>
        </w:rPr>
        <w:t xml:space="preserve">ПП РФ </w:t>
      </w:r>
      <w:r>
        <w:rPr>
          <w:rStyle w:val="CharStyle13"/>
          <w:lang w:val="en-US" w:eastAsia="en-US"/>
        </w:rPr>
        <w:t>№ 1875.</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настоящее время законодательством Российской Федерации не регламентированы случаи применения запретов на допуск программного обеспечения, предусмотренных ПП РФ </w:t>
      </w:r>
      <w:r>
        <w:rPr>
          <w:rStyle w:val="CharStyle13"/>
          <w:lang w:val="en-US" w:eastAsia="en-US"/>
        </w:rPr>
        <w:t xml:space="preserve">№ 1875 </w:t>
      </w:r>
      <w:r>
        <w:rPr>
          <w:rStyle w:val="CharStyle13"/>
        </w:rPr>
        <w:t>когда объектом закупки является медицинское оборудование с предустановленным программным обеспечением, без которого применение такого оборудования по назначению невозможно и в закупке не предусмотрена необходимость установки программного обеспечения и передачи прав на его вследствие выполнения контрактных обязательств.</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Указанные выводы подтверждаются письмами ФАС России от </w:t>
      </w:r>
      <w:r>
        <w:rPr>
          <w:rStyle w:val="CharStyle13"/>
          <w:lang w:val="en-US" w:eastAsia="en-US"/>
        </w:rPr>
        <w:t xml:space="preserve">03.02.2023 № </w:t>
      </w:r>
      <w:r>
        <w:rPr>
          <w:rStyle w:val="CharStyle13"/>
        </w:rPr>
        <w:t xml:space="preserve">ПИ/7495/23 Минцифры России от </w:t>
      </w:r>
      <w:r>
        <w:rPr>
          <w:rStyle w:val="CharStyle13"/>
          <w:lang w:val="en-US" w:eastAsia="en-US"/>
        </w:rPr>
        <w:t xml:space="preserve">15.12.2022 № </w:t>
      </w:r>
      <w:r>
        <w:rPr>
          <w:rStyle w:val="CharStyle13"/>
        </w:rPr>
        <w:t>П11-2-05-106-94501.</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Исходя из вышеизложенного Комиссия приходит к выводу о том, что не установление заказчиком запрета, предусмотренного ПП РФ </w:t>
      </w:r>
      <w:r>
        <w:rPr>
          <w:rStyle w:val="CharStyle13"/>
          <w:lang w:val="en-US" w:eastAsia="en-US"/>
        </w:rPr>
        <w:t xml:space="preserve">№ 1875, </w:t>
      </w:r>
      <w:r>
        <w:rPr>
          <w:rStyle w:val="CharStyle13"/>
        </w:rPr>
        <w:t>является правомерным и не противоречит положениям 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Ссылки Заявителя на то, что обоснованность ряда его доводов подтверждаются практикой территориальных органов ФАС России по аналогичным закупкам по жалобам Заявителя не может быть принята во внимание, поскольку предметом рассмотрения Комиссии является конкретная закупка, Комиссия обязана принимать решение в отношении конкретных обстоятельств каждой конкретной закупки, Комиссии не известны подробности обстоятельств иных закупок и пояснения заказчиков. Более того имеется также практика территориальных органов ФАС России по аналогичным закупкам по жалобам Заявителя, признанных необоснованными.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проанализировав положения Извещения о проведении закупки, а также приложенные к нему электронные документы, Комиссия не установила в действиях заказчика по их формированию нарушений 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На основании вышеизложенных обстоятельств, в результате рассмотрения жалобы по существу и проведения внеплановой проверки, руководствуясь частью </w:t>
      </w:r>
      <w:r>
        <w:rPr>
          <w:rStyle w:val="CharStyle13"/>
          <w:lang w:val="en-US" w:eastAsia="en-US"/>
        </w:rPr>
        <w:t xml:space="preserve">3, </w:t>
      </w:r>
      <w:r>
        <w:rPr>
          <w:rStyle w:val="CharStyle13"/>
        </w:rPr>
        <w:t xml:space="preserve">пунктом </w:t>
      </w:r>
      <w:r>
        <w:rPr>
          <w:rStyle w:val="CharStyle13"/>
          <w:lang w:val="en-US" w:eastAsia="en-US"/>
        </w:rPr>
        <w:t xml:space="preserve">3 </w:t>
      </w:r>
      <w:r>
        <w:rPr>
          <w:rStyle w:val="CharStyle13"/>
        </w:rPr>
        <w:t xml:space="preserve">части </w:t>
      </w:r>
      <w:r>
        <w:rPr>
          <w:rStyle w:val="CharStyle13"/>
          <w:lang w:val="en-US" w:eastAsia="en-US"/>
        </w:rPr>
        <w:t>8</w:t>
      </w:r>
      <w:r>
        <w:br w:type="page"/>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частью </w:t>
      </w:r>
      <w:r>
        <w:rPr>
          <w:rStyle w:val="CharStyle13"/>
          <w:lang w:val="en-US" w:eastAsia="en-US"/>
        </w:rPr>
        <w:t xml:space="preserve">15 </w:t>
      </w:r>
      <w:r>
        <w:rPr>
          <w:rStyle w:val="CharStyle13"/>
        </w:rPr>
        <w:t xml:space="preserve">статьи </w:t>
      </w:r>
      <w:r>
        <w:rPr>
          <w:rStyle w:val="CharStyle13"/>
          <w:lang w:val="en-US" w:eastAsia="en-US"/>
        </w:rPr>
        <w:t xml:space="preserve">99, </w:t>
      </w:r>
      <w:r>
        <w:rPr>
          <w:rStyle w:val="CharStyle13"/>
        </w:rPr>
        <w:t xml:space="preserve">частью </w:t>
      </w:r>
      <w:r>
        <w:rPr>
          <w:rStyle w:val="CharStyle13"/>
          <w:lang w:val="en-US" w:eastAsia="en-US"/>
        </w:rPr>
        <w:t xml:space="preserve">8 </w:t>
      </w:r>
      <w:r>
        <w:rPr>
          <w:rStyle w:val="CharStyle13"/>
        </w:rPr>
        <w:t xml:space="preserve">статьи </w:t>
      </w:r>
      <w:r>
        <w:rPr>
          <w:rStyle w:val="CharStyle13"/>
          <w:lang w:val="en-US" w:eastAsia="en-US"/>
        </w:rPr>
        <w:t xml:space="preserve">106 </w:t>
      </w:r>
      <w:r>
        <w:rPr>
          <w:rStyle w:val="CharStyle13"/>
        </w:rPr>
        <w:t>Закона о контрактной системе Комиссия Красноярского</w:t>
      </w:r>
    </w:p>
    <w:p>
      <w:pPr>
        <w:pStyle w:val="Style12"/>
        <w:keepNext w:val="0"/>
        <w:keepLines w:val="0"/>
        <w:widowControl w:val="0"/>
        <w:shd w:val="clear" w:color="auto" w:fill="auto"/>
        <w:bidi w:val="0"/>
        <w:spacing w:before="0" w:after="240" w:line="240" w:lineRule="auto"/>
        <w:ind w:left="0" w:right="0" w:firstLine="0"/>
        <w:jc w:val="both"/>
      </w:pPr>
      <w:r>
        <w:rPr>
          <w:rStyle w:val="CharStyle13"/>
        </w:rPr>
        <w:t>УФАС России</w:t>
      </w:r>
    </w:p>
    <w:p>
      <w:pPr>
        <w:pStyle w:val="Style12"/>
        <w:keepNext w:val="0"/>
        <w:keepLines w:val="0"/>
        <w:widowControl w:val="0"/>
        <w:shd w:val="clear" w:color="auto" w:fill="auto"/>
        <w:bidi w:val="0"/>
        <w:spacing w:before="0" w:after="240" w:line="240" w:lineRule="auto"/>
        <w:ind w:left="0" w:right="0" w:firstLine="0"/>
        <w:jc w:val="center"/>
      </w:pPr>
      <w:r>
        <w:rPr>
          <w:rStyle w:val="CharStyle13"/>
        </w:rPr>
        <w:t>РЕШИЛА: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Признать жалобу ИП Кравченко Алексея Викторовича необоснованной.</w:t>
      </w:r>
    </w:p>
    <w:p>
      <w:pPr>
        <w:pStyle w:val="Style12"/>
        <w:keepNext w:val="0"/>
        <w:keepLines w:val="0"/>
        <w:widowControl w:val="0"/>
        <w:shd w:val="clear" w:color="auto" w:fill="auto"/>
        <w:bidi w:val="0"/>
        <w:spacing w:before="0" w:after="300" w:line="240" w:lineRule="auto"/>
        <w:ind w:left="0" w:right="0" w:firstLine="720"/>
        <w:jc w:val="both"/>
      </w:pPr>
      <w:r>
        <w:rPr>
          <w:rStyle w:val="CharStyle13"/>
        </w:rPr>
        <w:t>Настоящее решение может быть обжаловано в арбитражный суд Красноярского края в течение трех месяцев со дня его принятия в порядке, установленном законодательством Российской Федерации.</w:t>
      </w:r>
    </w:p>
    <w:p>
      <w:pPr>
        <w:pStyle w:val="Style12"/>
        <w:keepNext w:val="0"/>
        <w:keepLines w:val="0"/>
        <w:widowControl w:val="0"/>
        <w:shd w:val="clear" w:color="auto" w:fill="auto"/>
        <w:bidi w:val="0"/>
        <w:spacing w:before="0" w:after="300" w:line="240" w:lineRule="auto"/>
        <w:ind w:left="0" w:right="0" w:firstLine="680"/>
        <w:jc w:val="both"/>
      </w:pPr>
      <w:r>
        <mc:AlternateContent>
          <mc:Choice Requires="wps">
            <w:drawing>
              <wp:anchor distT="0" distB="401955" distL="114300" distR="126365" simplePos="0" relativeHeight="125829379" behindDoc="0" locked="0" layoutInCell="1" allowOverlap="1">
                <wp:simplePos x="0" y="0"/>
                <wp:positionH relativeFrom="margin">
                  <wp:posOffset>5530850</wp:posOffset>
                </wp:positionH>
                <wp:positionV relativeFrom="paragraph">
                  <wp:posOffset>12700</wp:posOffset>
                </wp:positionV>
                <wp:extent cx="951230" cy="216535"/>
                <wp:wrapSquare wrapText="left"/>
                <wp:docPr id="11" name="Shape 11"/>
                <a:graphic xmlns:a="http://schemas.openxmlformats.org/drawingml/2006/main">
                  <a:graphicData uri="http://schemas.microsoft.com/office/word/2010/wordprocessingShape">
                    <wps:wsp>
                      <wps:cNvSpPr txBox="1"/>
                      <wps:spPr>
                        <a:xfrm>
                          <a:ext cx="951230" cy="21653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М.А Дударева</w:t>
                            </w:r>
                          </w:p>
                        </w:txbxContent>
                      </wps:txbx>
                      <wps:bodyPr wrap="none" lIns="0" tIns="0" rIns="0" bIns="0">
                        <a:noAutoFit/>
                      </wps:bodyPr>
                    </wps:wsp>
                  </a:graphicData>
                </a:graphic>
              </wp:anchor>
            </w:drawing>
          </mc:Choice>
          <mc:Fallback>
            <w:pict>
              <v:shape id="_x0000_s1037" type="#_x0000_t202" style="position:absolute;margin-left:435.5pt;margin-top:1.pt;width:74.900000000000006pt;height:17.050000000000001pt;z-index:-125829374;mso-wrap-distance-left:9.pt;mso-wrap-distance-right:9.9500000000000011pt;mso-wrap-distance-bottom:31.650000000000002pt;mso-position-horizontal-relative:margin"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М.А Дударева</w:t>
                      </w:r>
                    </w:p>
                  </w:txbxContent>
                </v:textbox>
                <w10:wrap type="square" side="left" anchorx="margin"/>
              </v:shape>
            </w:pict>
          </mc:Fallback>
        </mc:AlternateContent>
      </w:r>
      <w:r>
        <mc:AlternateContent>
          <mc:Choice Requires="wps">
            <w:drawing>
              <wp:anchor distT="402590" distB="0" distL="220980" distR="114300" simplePos="0" relativeHeight="125829381" behindDoc="0" locked="0" layoutInCell="1" allowOverlap="1">
                <wp:simplePos x="0" y="0"/>
                <wp:positionH relativeFrom="margin">
                  <wp:posOffset>5637530</wp:posOffset>
                </wp:positionH>
                <wp:positionV relativeFrom="paragraph">
                  <wp:posOffset>415290</wp:posOffset>
                </wp:positionV>
                <wp:extent cx="856615" cy="216535"/>
                <wp:wrapSquare wrapText="left"/>
                <wp:docPr id="13" name="Shape 13"/>
                <a:graphic xmlns:a="http://schemas.openxmlformats.org/drawingml/2006/main">
                  <a:graphicData uri="http://schemas.microsoft.com/office/word/2010/wordprocessingShape">
                    <wps:wsp>
                      <wps:cNvSpPr txBox="1"/>
                      <wps:spPr>
                        <a:xfrm>
                          <a:ext cx="856615" cy="21653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М.А. Грицай</w:t>
                            </w:r>
                          </w:p>
                        </w:txbxContent>
                      </wps:txbx>
                      <wps:bodyPr wrap="none" lIns="0" tIns="0" rIns="0" bIns="0">
                        <a:noAutoFit/>
                      </wps:bodyPr>
                    </wps:wsp>
                  </a:graphicData>
                </a:graphic>
              </wp:anchor>
            </w:drawing>
          </mc:Choice>
          <mc:Fallback>
            <w:pict>
              <v:shape id="_x0000_s1039" type="#_x0000_t202" style="position:absolute;margin-left:443.90000000000003pt;margin-top:32.700000000000003pt;width:67.450000000000003pt;height:17.050000000000001pt;z-index:-125829372;mso-wrap-distance-left:17.400000000000002pt;mso-wrap-distance-top:31.699999999999999pt;mso-wrap-distance-right:9.pt;mso-position-horizontal-relative:margin"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М.А. Грицай</w:t>
                      </w:r>
                    </w:p>
                  </w:txbxContent>
                </v:textbox>
                <w10:wrap type="square" side="left" anchorx="margin"/>
              </v:shape>
            </w:pict>
          </mc:Fallback>
        </mc:AlternateContent>
      </w:r>
      <w:r>
        <w:rPr>
          <w:rStyle w:val="CharStyle13"/>
        </w:rPr>
        <w:t>Председатель Комиссии</w:t>
      </w:r>
    </w:p>
    <w:p>
      <w:pPr>
        <w:pStyle w:val="Style12"/>
        <w:keepNext w:val="0"/>
        <w:keepLines w:val="0"/>
        <w:widowControl w:val="0"/>
        <w:shd w:val="clear" w:color="auto" w:fill="auto"/>
        <w:bidi w:val="0"/>
        <w:spacing w:before="0" w:after="300" w:line="240" w:lineRule="auto"/>
        <w:ind w:left="0" w:right="0" w:firstLine="680"/>
        <w:jc w:val="both"/>
      </w:pPr>
      <w:r>
        <w:rPr>
          <w:rStyle w:val="CharStyle13"/>
        </w:rPr>
        <w:t>Члены Комиссии</w:t>
      </w:r>
    </w:p>
    <w:p>
      <w:pPr>
        <w:pStyle w:val="Style12"/>
        <w:keepNext w:val="0"/>
        <w:keepLines w:val="0"/>
        <w:widowControl w:val="0"/>
        <w:shd w:val="clear" w:color="auto" w:fill="auto"/>
        <w:bidi w:val="0"/>
        <w:spacing w:before="0" w:after="8580" w:line="240" w:lineRule="auto"/>
        <w:ind w:left="0" w:right="0" w:firstLine="0"/>
        <w:jc w:val="right"/>
      </w:pPr>
      <w:r>
        <w:rPr>
          <w:rStyle w:val="CharStyle13"/>
        </w:rPr>
        <w:t>А.Р. Мулагалеев</w:t>
      </w:r>
    </w:p>
    <w:p>
      <w:pPr>
        <w:pStyle w:val="Style5"/>
        <w:keepNext w:val="0"/>
        <w:keepLines w:val="0"/>
        <w:widowControl w:val="0"/>
        <w:shd w:val="clear" w:color="auto" w:fill="auto"/>
        <w:bidi w:val="0"/>
        <w:spacing w:before="0" w:after="0" w:line="240" w:lineRule="auto"/>
        <w:ind w:left="0" w:right="0" w:firstLine="0"/>
        <w:jc w:val="left"/>
      </w:pPr>
      <w:r>
        <w:rPr>
          <w:rStyle w:val="CharStyle6"/>
          <w:color w:val="000000"/>
        </w:rPr>
        <w:t>Исп.Мулагалеев А.Р.</w:t>
      </w:r>
    </w:p>
    <w:p>
      <w:pPr>
        <w:pStyle w:val="Style5"/>
        <w:keepNext w:val="0"/>
        <w:keepLines w:val="0"/>
        <w:widowControl w:val="0"/>
        <w:shd w:val="clear" w:color="auto" w:fill="auto"/>
        <w:bidi w:val="0"/>
        <w:spacing w:before="0" w:after="300" w:line="240" w:lineRule="auto"/>
        <w:ind w:left="0" w:right="0" w:firstLine="0"/>
        <w:jc w:val="left"/>
      </w:pPr>
      <w:r>
        <w:rPr>
          <w:rStyle w:val="CharStyle6"/>
          <w:color w:val="000000"/>
        </w:rPr>
        <w:t>тел.8(391)2111830.</w:t>
      </w:r>
    </w:p>
    <w:sectPr>
      <w:headerReference w:type="default" r:id="rId15"/>
      <w:footerReference w:type="default" r:id="rId16"/>
      <w:headerReference w:type="first" r:id="rId17"/>
      <w:footerReference w:type="first" r:id="rId18"/>
      <w:footnotePr>
        <w:pos w:val="pageBottom"/>
        <w:numFmt w:val="decimal"/>
        <w:numRestart w:val="continuous"/>
      </w:footnotePr>
      <w:pgSz w:w="11900" w:h="16840"/>
      <w:pgMar w:top="893" w:right="538" w:bottom="899" w:left="538" w:header="0" w:footer="3" w:gutter="566"/>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361315</wp:posOffset>
              </wp:positionH>
              <wp:positionV relativeFrom="page">
                <wp:posOffset>9832975</wp:posOffset>
              </wp:positionV>
              <wp:extent cx="731520" cy="121920"/>
              <wp:wrapNone/>
              <wp:docPr id="5" name="Shape 5"/>
              <a:graphic xmlns:a="http://schemas.openxmlformats.org/drawingml/2006/main">
                <a:graphicData uri="http://schemas.microsoft.com/office/word/2010/wordprocessingShape">
                  <wps:wsp>
                    <wps:cNvSpPr txBox="1"/>
                    <wps:spPr>
                      <a:xfrm>
                        <a:ext cx="731520"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2025-13158</w:t>
                          </w:r>
                        </w:p>
                      </w:txbxContent>
                    </wps:txbx>
                    <wps:bodyPr wrap="none" lIns="0" tIns="0" rIns="0" bIns="0">
                      <a:spAutoFit/>
                    </wps:bodyPr>
                  </wps:wsp>
                </a:graphicData>
              </a:graphic>
            </wp:anchor>
          </w:drawing>
        </mc:Choice>
        <mc:Fallback>
          <w:pict>
            <v:shape id="_x0000_s1031" type="#_x0000_t202" style="position:absolute;margin-left:28.449999999999999pt;margin-top:774.25pt;width:57.600000000000001pt;height:9.5999999999999996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2025-13158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720725</wp:posOffset>
              </wp:positionH>
              <wp:positionV relativeFrom="page">
                <wp:posOffset>9857740</wp:posOffset>
              </wp:positionV>
              <wp:extent cx="731520" cy="121920"/>
              <wp:wrapNone/>
              <wp:docPr id="7" name="Shape 7"/>
              <a:graphic xmlns:a="http://schemas.openxmlformats.org/drawingml/2006/main">
                <a:graphicData uri="http://schemas.microsoft.com/office/word/2010/wordprocessingShape">
                  <wps:wsp>
                    <wps:cNvSpPr txBox="1"/>
                    <wps:spPr>
                      <a:xfrm>
                        <a:ext cx="731520"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2025-13158</w:t>
                          </w:r>
                        </w:p>
                      </w:txbxContent>
                    </wps:txbx>
                    <wps:bodyPr wrap="none" lIns="0" tIns="0" rIns="0" bIns="0">
                      <a:spAutoFit/>
                    </wps:bodyPr>
                  </wps:wsp>
                </a:graphicData>
              </a:graphic>
            </wp:anchor>
          </w:drawing>
        </mc:Choice>
        <mc:Fallback>
          <w:pict>
            <v:shape id="_x0000_s1033" type="#_x0000_t202" style="position:absolute;margin-left:56.75pt;margin-top:776.20000000000005pt;width:57.600000000000001pt;height:9.5999999999999996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2025-13158</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361315</wp:posOffset>
              </wp:positionH>
              <wp:positionV relativeFrom="page">
                <wp:posOffset>9832975</wp:posOffset>
              </wp:positionV>
              <wp:extent cx="731520" cy="121920"/>
              <wp:wrapNone/>
              <wp:docPr id="17" name="Shape 17"/>
              <a:graphic xmlns:a="http://schemas.openxmlformats.org/drawingml/2006/main">
                <a:graphicData uri="http://schemas.microsoft.com/office/word/2010/wordprocessingShape">
                  <wps:wsp>
                    <wps:cNvSpPr txBox="1"/>
                    <wps:spPr>
                      <a:xfrm>
                        <a:ext cx="731520"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2025-13158</w:t>
                          </w:r>
                        </w:p>
                      </w:txbxContent>
                    </wps:txbx>
                    <wps:bodyPr wrap="none" lIns="0" tIns="0" rIns="0" bIns="0">
                      <a:spAutoFit/>
                    </wps:bodyPr>
                  </wps:wsp>
                </a:graphicData>
              </a:graphic>
            </wp:anchor>
          </w:drawing>
        </mc:Choice>
        <mc:Fallback>
          <w:pict>
            <v:shape id="_x0000_s1043" type="#_x0000_t202" style="position:absolute;margin-left:28.449999999999999pt;margin-top:774.25pt;width:57.600000000000001pt;height:9.5999999999999996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2025-13158</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3525520</wp:posOffset>
              </wp:positionH>
              <wp:positionV relativeFrom="page">
                <wp:posOffset>745490</wp:posOffset>
              </wp:positionV>
              <wp:extent cx="128270" cy="69850"/>
              <wp:wrapNone/>
              <wp:docPr id="3" name="Shape 3"/>
              <a:graphic xmlns:a="http://schemas.openxmlformats.org/drawingml/2006/main">
                <a:graphicData uri="http://schemas.microsoft.com/office/word/2010/wordprocessingShape">
                  <wps:wsp>
                    <wps:cNvSpPr txBox="1"/>
                    <wps:spPr>
                      <a:xfrm>
                        <a:ext cx="12827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277.60000000000002pt;margin-top:58.700000000000003pt;width:10.1pt;height:5.5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3525520</wp:posOffset>
              </wp:positionH>
              <wp:positionV relativeFrom="page">
                <wp:posOffset>745490</wp:posOffset>
              </wp:positionV>
              <wp:extent cx="128270" cy="69850"/>
              <wp:wrapNone/>
              <wp:docPr id="15" name="Shape 15"/>
              <a:graphic xmlns:a="http://schemas.openxmlformats.org/drawingml/2006/main">
                <a:graphicData uri="http://schemas.microsoft.com/office/word/2010/wordprocessingShape">
                  <wps:wsp>
                    <wps:cNvSpPr txBox="1"/>
                    <wps:spPr>
                      <a:xfrm>
                        <a:ext cx="12827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41" type="#_x0000_t202" style="position:absolute;margin-left:277.60000000000002pt;margin-top:58.700000000000003pt;width:10.1pt;height:5.5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3926205</wp:posOffset>
              </wp:positionH>
              <wp:positionV relativeFrom="page">
                <wp:posOffset>403225</wp:posOffset>
              </wp:positionV>
              <wp:extent cx="76200" cy="100330"/>
              <wp:wrapNone/>
              <wp:docPr id="19" name="Shape 19"/>
              <a:graphic xmlns:a="http://schemas.openxmlformats.org/drawingml/2006/main">
                <a:graphicData uri="http://schemas.microsoft.com/office/word/2010/wordprocessingShape">
                  <wps:wsp>
                    <wps:cNvSpPr txBox="1"/>
                    <wps:spPr>
                      <a:xfrm>
                        <a:ext cx="7620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45" type="#_x0000_t202" style="position:absolute;margin-left:309.15000000000003pt;margin-top:31.75pt;width:6.pt;height:7.90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2)_"/>
    <w:basedOn w:val="DefaultParagraphFont"/>
    <w:link w:val="Style5"/>
    <w:rPr>
      <w:rFonts w:ascii="Times New Roman" w:eastAsia="Times New Roman" w:hAnsi="Times New Roman" w:cs="Times New Roman"/>
      <w:b w:val="0"/>
      <w:bCs w:val="0"/>
      <w:i w:val="0"/>
      <w:iCs w:val="0"/>
      <w:smallCaps w:val="0"/>
      <w:strike w:val="0"/>
      <w:color w:val="4460A1"/>
      <w:sz w:val="16"/>
      <w:szCs w:val="16"/>
      <w:u w:val="none"/>
    </w:rPr>
  </w:style>
  <w:style w:type="character" w:customStyle="1" w:styleId="CharStyle9">
    <w:name w:val="Body text (3)_"/>
    <w:basedOn w:val="DefaultParagraphFont"/>
    <w:link w:val="Style8"/>
    <w:rPr>
      <w:rFonts w:ascii="Times New Roman" w:eastAsia="Times New Roman" w:hAnsi="Times New Roman" w:cs="Times New Roman"/>
      <w:b w:val="0"/>
      <w:bCs w:val="0"/>
      <w:i w:val="0"/>
      <w:iCs w:val="0"/>
      <w:smallCaps w:val="0"/>
      <w:strike w:val="0"/>
      <w:color w:val="4460A1"/>
      <w:sz w:val="18"/>
      <w:szCs w:val="18"/>
      <w:u w:val="none"/>
    </w:rPr>
  </w:style>
  <w:style w:type="character" w:customStyle="1" w:styleId="CharStyle11">
    <w:name w:val="Picture caption_"/>
    <w:basedOn w:val="DefaultParagraphFont"/>
    <w:link w:val="Style10"/>
    <w:rPr>
      <w:rFonts w:ascii="Times New Roman" w:eastAsia="Times New Roman" w:hAnsi="Times New Roman" w:cs="Times New Roman"/>
      <w:b w:val="0"/>
      <w:bCs w:val="0"/>
      <w:i w:val="0"/>
      <w:iCs w:val="0"/>
      <w:smallCaps w:val="0"/>
      <w:strike w:val="0"/>
      <w:color w:val="4460A1"/>
      <w:sz w:val="18"/>
      <w:szCs w:val="18"/>
      <w:u w:val="none"/>
    </w:rPr>
  </w:style>
  <w:style w:type="character" w:customStyle="1" w:styleId="CharStyle13">
    <w:name w:val="Body text_"/>
    <w:basedOn w:val="DefaultParagraphFont"/>
    <w:link w:val="Style12"/>
    <w:rPr>
      <w:rFonts w:ascii="Times New Roman" w:eastAsia="Times New Roman" w:hAnsi="Times New Roman" w:cs="Times New Roman"/>
      <w:b w:val="0"/>
      <w:bCs w:val="0"/>
      <w:i w:val="0"/>
      <w:iCs w:val="0"/>
      <w:smallCaps w:val="0"/>
      <w:strike w:val="0"/>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2)"/>
    <w:basedOn w:val="Normal"/>
    <w:link w:val="CharStyle6"/>
    <w:pPr>
      <w:widowControl w:val="0"/>
      <w:shd w:val="clear" w:color="auto" w:fill="auto"/>
      <w:spacing w:after="160" w:line="276" w:lineRule="auto"/>
      <w:jc w:val="center"/>
    </w:pPr>
    <w:rPr>
      <w:rFonts w:ascii="Times New Roman" w:eastAsia="Times New Roman" w:hAnsi="Times New Roman" w:cs="Times New Roman"/>
      <w:b w:val="0"/>
      <w:bCs w:val="0"/>
      <w:i w:val="0"/>
      <w:iCs w:val="0"/>
      <w:smallCaps w:val="0"/>
      <w:strike w:val="0"/>
      <w:color w:val="4460A1"/>
      <w:sz w:val="16"/>
      <w:szCs w:val="16"/>
      <w:u w:val="none"/>
    </w:rPr>
  </w:style>
  <w:style w:type="paragraph" w:customStyle="1" w:styleId="Style8">
    <w:name w:val="Body text (3)"/>
    <w:basedOn w:val="Normal"/>
    <w:link w:val="CharStyle9"/>
    <w:pPr>
      <w:widowControl w:val="0"/>
      <w:shd w:val="clear" w:color="auto" w:fill="auto"/>
      <w:spacing w:after="240" w:line="264" w:lineRule="auto"/>
    </w:pPr>
    <w:rPr>
      <w:rFonts w:ascii="Times New Roman" w:eastAsia="Times New Roman" w:hAnsi="Times New Roman" w:cs="Times New Roman"/>
      <w:b w:val="0"/>
      <w:bCs w:val="0"/>
      <w:i w:val="0"/>
      <w:iCs w:val="0"/>
      <w:smallCaps w:val="0"/>
      <w:strike w:val="0"/>
      <w:color w:val="4460A1"/>
      <w:sz w:val="18"/>
      <w:szCs w:val="18"/>
      <w:u w:val="none"/>
    </w:rPr>
  </w:style>
  <w:style w:type="paragraph" w:customStyle="1" w:styleId="Style10">
    <w:name w:val="Picture caption"/>
    <w:basedOn w:val="Normal"/>
    <w:link w:val="CharStyle11"/>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460A1"/>
      <w:sz w:val="18"/>
      <w:szCs w:val="18"/>
      <w:u w:val="none"/>
    </w:rPr>
  </w:style>
  <w:style w:type="paragraph" w:styleId="Style12">
    <w:name w:val="Body text"/>
    <w:basedOn w:val="Normal"/>
    <w:link w:val="CharStyle13"/>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image" Target="media/image3.png"/><Relationship Id="rId14" Type="http://schemas.openxmlformats.org/officeDocument/2006/relationships/image" Target="media/image3.png" TargetMode="External"/><Relationship Id="rId15" Type="http://schemas.openxmlformats.org/officeDocument/2006/relationships/header" Target="header3.xml"/><Relationship Id="rId16" Type="http://schemas.openxmlformats.org/officeDocument/2006/relationships/footer" Target="footer3.xml"/><Relationship Id="rId17" Type="http://schemas.openxmlformats.org/officeDocument/2006/relationships/header" Target="header4.xml"/><Relationship Id="rId18" Type="http://schemas.openxmlformats.org/officeDocument/2006/relationships/footer" Target="footer4.xml"/></Relationships>
</file>