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0.09.2025</w:t>
        <w:tab/>
      </w:r>
      <w:r>
        <w:fldChar w:fldCharType="end"/>
      </w:r>
      <w:r>
        <w:rPr>
          <w:rStyle w:val="CharStyle10"/>
        </w:rPr>
        <w:t>№ 36343/25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"mailto:GKBI-zakupki.gkb15@zdrav.mos.ru" </w:instrText>
      </w:r>
      <w:r>
        <w:fldChar w:fldCharType="separate"/>
      </w:r>
      <w:r>
        <w:rPr>
          <w:rStyle w:val="CharStyle12"/>
          <w:lang w:val="en-US" w:eastAsia="en-US"/>
        </w:rPr>
        <w:t>GKBI-zakupki.gkb15@zdrav.mos.ru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>ИП Кравченко А.В.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309" w:bottom="708" w:left="1293" w:header="0" w:footer="3" w:gutter="0"/>
          <w:pgNumType w:start="1"/>
          <w:cols w:num="2" w:space="926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"mailto:info@gosfarm.ru" </w:instrText>
      </w:r>
      <w:r>
        <w:fldChar w:fldCharType="separate"/>
      </w:r>
      <w:r>
        <w:rPr>
          <w:rStyle w:val="CharStyle12"/>
          <w:lang w:val="en-US" w:eastAsia="en-US"/>
        </w:rPr>
        <w:t>info@gosfarm.ru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31" w:after="31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1" w:right="0" w:bottom="97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393700</wp:posOffset>
                </wp:positionV>
                <wp:extent cx="1322705" cy="673735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2705" cy="673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  <w:b/>
                                <w:bCs/>
                                <w:lang w:val="en-US" w:eastAsia="en-US"/>
                              </w:rPr>
                              <w:t>05.09.2025</w:t>
                            </w:r>
                          </w:p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70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Комиссия по г. Москве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55.550000000000004pt;margin-top:31.pt;width:104.15000000000001pt;height:53.050000000000004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  <w:b/>
                          <w:bCs/>
                          <w:lang w:val="en-US" w:eastAsia="en-US"/>
                        </w:rPr>
                        <w:t>05.09.2025</w:t>
                      </w:r>
                    </w:p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700"/>
                        <w:jc w:val="left"/>
                      </w:pPr>
                      <w:r>
                        <w:rPr>
                          <w:rStyle w:val="CharStyle12"/>
                        </w:rPr>
                        <w:t>Комиссия по г. Москве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№077/06/106-11001/2025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2"/>
        </w:rPr>
        <w:t>Управления Федеральной антимонопольной службы по контролю в сфере закупок товаров, работ, услуг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государственного инспектора отдела обжалования государственных закупок А.А. Кутейникова,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Ведущего специалиста-эксперта отдела обжалования государственных закупок М.В. Сорбучевой,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О.А. Челновой,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видеоконференцсвязи),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 xml:space="preserve">ДЗМ»: А.А. Назарова (по дов. от </w:t>
      </w:r>
      <w:r>
        <w:rPr>
          <w:rStyle w:val="CharStyle12"/>
          <w:lang w:val="en-US" w:eastAsia="en-US"/>
        </w:rPr>
        <w:t xml:space="preserve">15.01.2025 №14), </w:t>
      </w:r>
      <w:r>
        <w:rPr>
          <w:rStyle w:val="CharStyle12"/>
        </w:rPr>
        <w:t xml:space="preserve">Е.С. Кузьминых (по дов. от </w:t>
      </w:r>
      <w:r>
        <w:rPr>
          <w:rStyle w:val="CharStyle12"/>
          <w:lang w:val="en-US" w:eastAsia="en-US"/>
        </w:rPr>
        <w:t>04.09.2025 №6926/3-1),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ИП Кравченко А.В.: А.В. Кравченко лично,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ИП Кравченко А.В.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Заявитель) на действия 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медицинского оборудования (Закупка </w:t>
      </w:r>
      <w:r>
        <w:rPr>
          <w:rStyle w:val="CharStyle12"/>
          <w:lang w:val="en-US" w:eastAsia="en-US"/>
        </w:rPr>
        <w:t xml:space="preserve">№0373200024425001168)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аукцион, электронный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</w:t>
      </w:r>
      <w:r>
        <w:rPr>
          <w:rStyle w:val="CharStyle12"/>
        </w:rPr>
        <w:t xml:space="preserve">№44-ФЗ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Закон о контрактной системе),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widowControl w:val="0"/>
        <w:spacing w:after="456" w:line="1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0</wp:posOffset>
            </wp:positionV>
            <wp:extent cx="1511935" cy="292735"/>
            <wp:wrapNone/>
            <wp:docPr id="10" name="Shap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box 11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Кроме того, на заседании Комиссии Управления Заявителем озвучено ходатайство об ознакомлении с возражениями, направленными Заказчиком в материалы дела, в связи с чем Комиссией Управления в адрес Заявителя направлены запрашиваемые документы, в части тех документов, которые были представлены Заказчиком в материалы дела и запрошены Заявителем.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.В составе жалобы Заявитель указывает на то, что ранее Московским УФАС России рассматривалась жалоба Заявителя, содержащая указания на нарушения Заказчика при формировании извещения об осуществлении электронного аукциона </w:t>
      </w:r>
      <w:r>
        <w:rPr>
          <w:rStyle w:val="CharStyle12"/>
          <w:lang w:val="en-US" w:eastAsia="en-US"/>
        </w:rPr>
        <w:t xml:space="preserve">№0373100108025000228 </w:t>
      </w:r>
      <w:r>
        <w:rPr>
          <w:rStyle w:val="CharStyle12"/>
        </w:rPr>
        <w:t xml:space="preserve">в рамках дела </w:t>
      </w:r>
      <w:r>
        <w:rPr>
          <w:rStyle w:val="CharStyle12"/>
          <w:lang w:val="en-US" w:eastAsia="en-US"/>
        </w:rPr>
        <w:t xml:space="preserve">№077/06/106-9741/2025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 xml:space="preserve">31.07.2025, </w:t>
      </w:r>
      <w:r>
        <w:rPr>
          <w:rStyle w:val="CharStyle12"/>
        </w:rPr>
        <w:t xml:space="preserve">по результатам рассмотрения которого Заказчику выдано обязательное для исполнения предписание об устранении нарушении законодательства о контрактной системе по делу от </w:t>
      </w:r>
      <w:r>
        <w:rPr>
          <w:rStyle w:val="CharStyle12"/>
          <w:lang w:val="en-US" w:eastAsia="en-US"/>
        </w:rPr>
        <w:t xml:space="preserve">31.07.2025 № 077/06/106-9741/2025. </w:t>
      </w:r>
      <w:r>
        <w:rPr>
          <w:rStyle w:val="CharStyle12"/>
        </w:rPr>
        <w:t>Вместе с тем указанное предписание Заказчиком не исполнено.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Согласно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22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99 </w:t>
      </w:r>
      <w:r>
        <w:rPr>
          <w:rStyle w:val="CharStyle12"/>
        </w:rPr>
        <w:t>Закона о контрактной системе при выявлении в результате проведения контрольным органом в сфере закупок плановых и внеплановых проверок, а также в результате рассмотрения жалобы на действия (бездействие) заказчика, уполномоченного органа, уполномоченного учреждения, специализированной организации, оператора электронной площадки или комиссии по осуществлению закупок нарушений законодательства Российской Федерации и иных нормативных правовых актов о контрактной системе в сфере закупок контрольный орган в сфере закупок вправе выдавать обязательные для исполнения предписания об устранении таких нарушений в соответствии с законодательством Российской Федерации, в том числе об аннулировании определения поставщиков (подрядчиков, исполнителей).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Управления считает необходимым отметить, что предписание об устранении нарушении законодательства о контрактной системе по делу от </w:t>
      </w:r>
      <w:r>
        <w:rPr>
          <w:rStyle w:val="CharStyle12"/>
          <w:lang w:val="en-US" w:eastAsia="en-US"/>
        </w:rPr>
        <w:t xml:space="preserve">31.07.2025 № 077/06/106-9741/2025 </w:t>
      </w:r>
      <w:r>
        <w:rPr>
          <w:rStyle w:val="CharStyle12"/>
        </w:rPr>
        <w:t xml:space="preserve">выдано ФГБУ «НИИ пульмонологии» ФМБА России по закупке </w:t>
      </w:r>
      <w:r>
        <w:rPr>
          <w:rStyle w:val="CharStyle12"/>
          <w:lang w:val="en-US" w:eastAsia="en-US"/>
        </w:rPr>
        <w:t xml:space="preserve">№0373100108025000228, </w:t>
      </w:r>
      <w:r>
        <w:rPr>
          <w:rStyle w:val="CharStyle12"/>
        </w:rPr>
        <w:t xml:space="preserve">в то же время настоящая жалоба подана на положения извещения </w:t>
      </w:r>
      <w:r>
        <w:rPr>
          <w:rStyle w:val="CharStyle12"/>
          <w:lang w:val="en-US" w:eastAsia="en-US"/>
        </w:rPr>
        <w:t xml:space="preserve">№ 0373200024425001168 </w:t>
      </w:r>
      <w:r>
        <w:rPr>
          <w:rStyle w:val="CharStyle12"/>
        </w:rPr>
        <w:t xml:space="preserve">проводимой 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>ДЗМ», в связи с чем доводы жалобы не находят своего подтверждения и являются необоснованными.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 xml:space="preserve">Согласно доводам жалобы Заказчиком в описание объекта закупки неправомерно выбрана позиция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КТРУ) </w:t>
      </w:r>
      <w:r>
        <w:rPr>
          <w:rStyle w:val="CharStyle12"/>
          <w:lang w:val="en-US" w:eastAsia="en-US"/>
        </w:rPr>
        <w:t xml:space="preserve">26.60.12.132-00000011 </w:t>
      </w:r>
      <w:r>
        <w:rPr>
          <w:rStyle w:val="CharStyle12"/>
        </w:rPr>
        <w:t xml:space="preserve">«Система ультразвуковой визуализации сердечно-сосудистой системы», в то время как для данного вида оборудования существует наиболее подходящие позиции </w:t>
      </w:r>
      <w:r>
        <w:rPr>
          <w:rStyle w:val="CharStyle12"/>
          <w:lang w:val="en-US" w:eastAsia="en-US"/>
        </w:rPr>
        <w:t xml:space="preserve">26.60.12.132-00000036 </w:t>
      </w:r>
      <w:r>
        <w:rPr>
          <w:rStyle w:val="CharStyle12"/>
        </w:rPr>
        <w:t xml:space="preserve">«Система ультразвуковой визуализации универсальная, с питанием от сети», </w:t>
      </w:r>
      <w:r>
        <w:rPr>
          <w:rStyle w:val="CharStyle12"/>
          <w:lang w:val="en-US" w:eastAsia="en-US"/>
        </w:rPr>
        <w:t xml:space="preserve">26.60.12.132-00000037 </w:t>
      </w:r>
      <w:r>
        <w:rPr>
          <w:rStyle w:val="CharStyle12"/>
        </w:rPr>
        <w:t>«Система ультразвуковой визуализации универсальная, с питанием от сети».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11" w:right="537" w:bottom="979" w:left="110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В обоснование своей позиции подателем жалобы указано, что закупаемая Заказчиком система должна визуализировать не только сердечно-сосудистую систему, но и более широкую диагностику организма. Данный вывод, по мнению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>Заявителя, возможно сделать, исходя из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силу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08.02.2017 №145 </w:t>
      </w:r>
      <w:r>
        <w:rPr>
          <w:rStyle w:val="CharStyle12"/>
        </w:rPr>
        <w:t xml:space="preserve">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правила формирования КТРУ) и Правила использования каталога товаров, работ, услуг для обеспечения государственных и муниципальных нужд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Правила использования КТРУ).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ч.6 ст.23 Закона о контрактной системе порядок формирования и ведения в единой информационной системе каталога товаров, работ, услуг для обеспечения государственных и муниципальных нужд, а также правила использования указанного каталога устанавливаются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324" w:lineRule="auto"/>
        <w:ind w:left="0" w:right="0" w:firstLine="70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620" w:left="1101" w:header="0" w:footer="192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Согласно пп.«а» п.2 Правила использования КТРУ каталог используется </w:t>
      </w:r>
      <w:r>
        <w:rPr>
          <w:rStyle w:val="CharStyle12"/>
          <w:sz w:val="24"/>
          <w:szCs w:val="24"/>
          <w:lang w:val="en-US" w:eastAsia="en-US"/>
        </w:rPr>
        <w:t>2025-41240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заказчиками в целях обеспечения применения информации о товарах, работах, услугах, в том числе в: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1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приглашении принять участие в определении поставщика (подрядчика, исполнителя)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приглашение);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документации о закупке (в случае если Федеральным законом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rStyle w:val="CharStyle12"/>
        </w:rPr>
        <w:t>предусмотрена документация о закупке);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контракте;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0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реестре контрактов, заключенных заказчиками.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основании п.4 Правил использования КТРУ Заказчики обязаны применять информацию, включенную в позицию каталога в соответствии с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«г» и «е»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«з» п.10 Правил формирования КТРУ.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3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наименование товара, работы, услуги;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0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единицы измерения количества товара, объема выполняемой работы, оказываемой услуги (при наличии);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описание товара, работы, услуги (при наличии такого описания в позиции).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В силу п.5 Правил использования КТРУ Заказчик вправе указать в извещении об осуществлении закупки, приглашении и документации о закупке (в случае если Законом о контрактной системе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с.33 Закона о контрактной системе, которые не предусмотрены в позиции каталога, за исключением случаев: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17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если при осуществлении закупки товара (в том числе поставляемого при выполнении закупаемых работ, оказании закупаемых услуг), указанного в позициях </w:t>
      </w:r>
      <w:r>
        <w:rPr>
          <w:rStyle w:val="CharStyle12"/>
          <w:lang w:val="en-US" w:eastAsia="en-US"/>
        </w:rPr>
        <w:t xml:space="preserve">25, 26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1 </w:t>
      </w:r>
      <w:r>
        <w:rPr>
          <w:rStyle w:val="CharStyle12"/>
        </w:rPr>
        <w:t xml:space="preserve">к постановлению Правительства Российской Федерации от </w:t>
      </w:r>
      <w:r>
        <w:rPr>
          <w:rStyle w:val="CharStyle12"/>
          <w:lang w:val="en-US" w:eastAsia="en-US"/>
        </w:rPr>
        <w:t xml:space="preserve">23 </w:t>
      </w:r>
      <w:r>
        <w:rPr>
          <w:rStyle w:val="CharStyle12"/>
        </w:rPr>
        <w:t xml:space="preserve">декабря </w:t>
      </w:r>
      <w:r>
        <w:rPr>
          <w:rStyle w:val="CharStyle12"/>
          <w:lang w:val="en-US" w:eastAsia="en-US"/>
        </w:rPr>
        <w:t xml:space="preserve">2024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лиц», позициях </w:t>
      </w:r>
      <w:r>
        <w:rPr>
          <w:rStyle w:val="CharStyle12"/>
          <w:lang w:val="en-US" w:eastAsia="en-US"/>
        </w:rPr>
        <w:t xml:space="preserve">191 - 361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 2 </w:t>
      </w:r>
      <w:r>
        <w:rPr>
          <w:rStyle w:val="CharStyle12"/>
        </w:rPr>
        <w:t xml:space="preserve">к указанному постановлению, применяются предусмотренные пунктом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указанного постановления запрет, ограничение соответственно;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если иное не предусмотрено особенностями описания отдельных видов объектов закупок, устанавливаемыми Правительством Российской Федерации в соответствии с ч.5 ст.33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5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есте с тем в силу п.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Правил использования КТРУ в случае предоставления дополнительной информации, предусмотренной п. </w:t>
      </w:r>
      <w:r>
        <w:rPr>
          <w:rStyle w:val="CharStyle12"/>
          <w:lang w:val="en-US" w:eastAsia="en-US"/>
        </w:rPr>
        <w:t xml:space="preserve">5 </w:t>
      </w:r>
      <w:r>
        <w:rPr>
          <w:rStyle w:val="CharStyle12"/>
        </w:rPr>
        <w:t>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При этом п.7 Правил использования КТРУ регламентировано, что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Комиссией Управления установлено, что согласно объекту закупки Заказчиком установлены требования к характеристикам необходимого к поставке товара «Система ультразвуковой визуализации сердечно-сосудистой системы» позиции КТРУ </w:t>
      </w:r>
      <w:r>
        <w:rPr>
          <w:rStyle w:val="CharStyle12"/>
          <w:lang w:val="en-US" w:eastAsia="en-US"/>
        </w:rPr>
        <w:t xml:space="preserve">26.60.12.132-00000011 </w:t>
      </w:r>
      <w:r>
        <w:rPr>
          <w:rStyle w:val="CharStyle12"/>
        </w:rPr>
        <w:t xml:space="preserve">следующим образом, в частности: </w:t>
      </w:r>
      <w:r>
        <w:rPr>
          <w:rStyle w:val="CharStyle12"/>
          <w:i/>
          <w:iCs/>
        </w:rPr>
        <w:t>«Область применения: Исследования сосудов».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вопреки доводам жалобы все требования к характеристикам закупаемой системы сформированы в соответствии с установленным описанием выбранной позиции КТРУ </w:t>
      </w:r>
      <w:r>
        <w:rPr>
          <w:rStyle w:val="CharStyle12"/>
          <w:lang w:val="en-US" w:eastAsia="en-US"/>
        </w:rPr>
        <w:t xml:space="preserve">26.60.12.132-00000011. </w:t>
      </w:r>
      <w:r>
        <w:rPr>
          <w:rStyle w:val="CharStyle12"/>
        </w:rPr>
        <w:t xml:space="preserve">При этом в жалобе не содержится оснований, которые указывали на соответствие закупаемого изделия позициям КТРУ </w:t>
      </w:r>
      <w:r>
        <w:rPr>
          <w:rStyle w:val="CharStyle12"/>
          <w:lang w:val="en-US" w:eastAsia="en-US"/>
        </w:rPr>
        <w:t>26.60.12.132-00000036 , 26.60.12.132-00000037.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>Исходя из всего вышеизложенного, с учетом специфики применения системы, Комиссия Управления не усматривает несоответствие закупаемой системы ультразвуковой визуализации сердечно-сосудистой системы с выбранной Заказчиком позиции КТРУ. Более того, законодательством о контрактной системе предусмотрено, что именно Заказчик самостоятельно определяет позицию КТРУ путем соотнесения объекта закупки и соответствующей позиции как наиболее подходящим с учетом специфики закупки, области применения закупаемого товара, а также его характеристик.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62" w:right="546" w:bottom="1340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Вместе с тем на заседании Комиссии Управления, в составе жалобы Заявителем не представлено документов и сведений, подтверждающих обоснованность доводов жалобы в части неправомерного описания объекта закупки, в том числе свидетельствующие, что требования к товару составлены таким образом, что не соответствуют выбранной Заказчиком позиции КТРУ, а также документов и сведений, подтверждающих, что действия Заказчика нарушают положения Закона о контрактной системе, каким-либо образом препятствуют формированию заявки на участие в закупке и могут повлечь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7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.Одновременно с этим в составе жалобы Заявитель указывает, что в извещении об осуществлении закупки Заказчиком установлено (не применено) ограничение, предусмотренное Постановлением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однако указанным в описании объекта закупки требованиям к техническим характеристикам, в полной мере, не соответствует ни одна из моделей ультразвукового оборудования, присутствующая в едином реестре радиоэлектронной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обоснование своей позиции Заявитель указывает, что на день подачи жалобы в едином реестре российской радиоэлектронной продукции зарегистрировано как минимум четыре ультразвуковых аппарата, производства АО «НИПК «Электрон», АО «Уральский приборостроительный завод», АО «Заслон» и ООО НМФ «Нейротех», соответствующих тому же классу (функциональному назначению) радиоэлектронной продукции, что и радиоэлектронная продукция, планируемая к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Таким образом, по мнению Заявителя, требования к товарам Заказчиком установлены, таким образом, что ни одна модель содержащееся в едином реестре российской радиоэлектронной продукции не соответствует требованиям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пп.«б»,«в» п.1 ч.2 ст.14 Закона о контрактной системе Правительство Российской Федерации вправе с учетом положений ч.3 ст.14 Закона о контрактной системе принимать меры: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1440"/>
        <w:jc w:val="both"/>
        <w:rPr>
          <w:sz w:val="24"/>
          <w:szCs w:val="24"/>
        </w:rPr>
      </w:pPr>
      <w:r>
        <w:rPr>
          <w:rStyle w:val="CharStyle12"/>
        </w:rPr>
        <w:t xml:space="preserve">устанавливающие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</w:t>
      </w:r>
      <w:r>
        <w:rPr>
          <w:rStyle w:val="CharStyle12"/>
          <w:sz w:val="24"/>
          <w:szCs w:val="24"/>
          <w:lang w:val="en-US" w:eastAsia="en-US"/>
        </w:rPr>
        <w:t>2025-41240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40" w:line="254" w:lineRule="auto"/>
        <w:ind w:left="0" w:right="0" w:firstLine="0"/>
        <w:jc w:val="both"/>
      </w:pPr>
      <w:r>
        <w:rPr>
          <w:rStyle w:val="CharStyle12"/>
        </w:rPr>
        <w:t>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1440"/>
        <w:jc w:val="both"/>
      </w:pPr>
      <w:r>
        <w:rPr>
          <w:rStyle w:val="CharStyle12"/>
        </w:rPr>
        <w:t>устанавливающие 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П.1 Постановление Правительства РФ от </w:t>
      </w:r>
      <w:r>
        <w:rPr>
          <w:rStyle w:val="CharStyle12"/>
          <w:lang w:val="en-US" w:eastAsia="en-US"/>
        </w:rPr>
        <w:t xml:space="preserve">10.07.2019 №878 </w:t>
      </w:r>
      <w:r>
        <w:rPr>
          <w:rStyle w:val="CharStyle12"/>
        </w:rPr>
        <w:t xml:space="preserve">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</w:t>
      </w:r>
      <w:r>
        <w:rPr>
          <w:rStyle w:val="CharStyle12"/>
          <w:lang w:val="en-US" w:eastAsia="en-US"/>
        </w:rPr>
        <w:t xml:space="preserve">16 </w:t>
      </w:r>
      <w:r>
        <w:rPr>
          <w:rStyle w:val="CharStyle12"/>
        </w:rPr>
        <w:t xml:space="preserve">сентября </w:t>
      </w:r>
      <w:r>
        <w:rPr>
          <w:rStyle w:val="CharStyle12"/>
          <w:lang w:val="en-US" w:eastAsia="en-US"/>
        </w:rPr>
        <w:t xml:space="preserve">2016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925 </w:t>
      </w:r>
      <w:r>
        <w:rPr>
          <w:rStyle w:val="CharStyle12"/>
        </w:rPr>
        <w:t xml:space="preserve">и признании утратившими силу некоторых актов Правительства Российской Федерации»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№878) </w:t>
      </w:r>
      <w:r>
        <w:rPr>
          <w:rStyle w:val="CharStyle12"/>
        </w:rPr>
        <w:t xml:space="preserve">утвержден единый реестр российской радиоэлектронной продукции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Реестр).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Абз.3 и абз.4 п.1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установлены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 xml:space="preserve">№ 2, </w:t>
      </w:r>
      <w:r>
        <w:rPr>
          <w:rStyle w:val="CharStyle12"/>
        </w:rPr>
        <w:t>и 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извещение в отношении закупаемого оборудования «Система ультразвуковой визуализации сердечно</w:t>
        <w:softHyphen/>
        <w:t xml:space="preserve">сосудистой системы» позиции КТРУ </w:t>
      </w:r>
      <w:r>
        <w:rPr>
          <w:rStyle w:val="CharStyle12"/>
          <w:lang w:val="en-US" w:eastAsia="en-US"/>
        </w:rPr>
        <w:t xml:space="preserve">26.60.12.132-00000011 </w:t>
      </w:r>
      <w:r>
        <w:rPr>
          <w:rStyle w:val="CharStyle12"/>
        </w:rPr>
        <w:t xml:space="preserve">Заказчиком установлены преимущества в отношении закупок товаров российского происхождения, выполняемых работ, оказываемых услуг российскими лицами, предусмотренные положениями Постановления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</w:pPr>
      <w:r>
        <w:rPr>
          <w:rStyle w:val="CharStyle12"/>
        </w:rPr>
        <w:t xml:space="preserve">Таким образом, Комиссия Управления приходит к выводу, что доводы жалобы Заявителя не основаны на положениях извещения, при этом положениями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и Постановления </w:t>
      </w:r>
      <w:r>
        <w:rPr>
          <w:rStyle w:val="CharStyle12"/>
          <w:lang w:val="en-US" w:eastAsia="en-US"/>
        </w:rPr>
        <w:t xml:space="preserve">№878, </w:t>
      </w:r>
      <w:r>
        <w:rPr>
          <w:rStyle w:val="CharStyle12"/>
        </w:rPr>
        <w:t xml:space="preserve">не установлены требования о том, что описание объекта закупки, сформированное в соответствии с положениями </w:t>
      </w:r>
      <w:r>
        <w:rPr>
          <w:rStyle w:val="CharStyle12"/>
          <w:sz w:val="24"/>
          <w:szCs w:val="24"/>
          <w:lang w:val="en-US" w:eastAsia="en-US"/>
        </w:rPr>
        <w:t>2025-41240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Закона о контрактной системе, должно быть составлено на основании характеристик товаров, содержащихся в реестре.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 в составе жалобы Заявителем не представлено документов и сведений, указывающих на необходимость Заказчика формировать описание объекта закупки на основании характеристик изделий, содержащихся в Реестре.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 xml:space="preserve">Согласно доводу жалобы Заказчиком не исполнены требования Постановления Правительства РФ от </w:t>
      </w:r>
      <w:r>
        <w:rPr>
          <w:rStyle w:val="CharStyle12"/>
          <w:lang w:val="en-US" w:eastAsia="en-US"/>
        </w:rPr>
        <w:t xml:space="preserve">03.12.2020 № 2014 </w:t>
      </w:r>
      <w:r>
        <w:rPr>
          <w:rStyle w:val="CharStyle12"/>
        </w:rPr>
        <w:t xml:space="preserve">«О минимальной обязательной доле закупок российских товаров и ее достижении заказчиком»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№2014), </w:t>
      </w:r>
      <w:r>
        <w:rPr>
          <w:rStyle w:val="CharStyle12"/>
        </w:rPr>
        <w:t xml:space="preserve">в части закупки аппаратов ультразвукового исследования Российского производства не менее </w:t>
      </w:r>
      <w:r>
        <w:rPr>
          <w:rStyle w:val="CharStyle12"/>
          <w:lang w:val="en-US" w:eastAsia="en-US"/>
        </w:rPr>
        <w:t>80%.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Согласно п.26 Перечня утративших силу актов и отдельных положений актов правительства российской федерации, утвержденным Постановлением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№2014 </w:t>
      </w:r>
      <w:r>
        <w:rPr>
          <w:rStyle w:val="CharStyle12"/>
        </w:rPr>
        <w:t>утрачивает силу.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П.12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определено, что Постановление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вступает в силу с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января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 xml:space="preserve">г., за исключением пп.«ф» п.4 Постановление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который вступает в силу с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сентября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>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Пп.«а» п.10 Постановления </w:t>
      </w:r>
      <w:r>
        <w:rPr>
          <w:rStyle w:val="CharStyle12"/>
          <w:lang w:val="en-US" w:eastAsia="en-US"/>
        </w:rPr>
        <w:t xml:space="preserve">№187 </w:t>
      </w:r>
      <w:r>
        <w:rPr>
          <w:rStyle w:val="CharStyle12"/>
        </w:rPr>
        <w:t xml:space="preserve">установлено, что Постановление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применяется к отношениям, связанным с осуществлением закупок, извещения об осуществлении которых размещены в единой информационной системе и приглашения принять участие в которых направлены либо контракты (договоры) с единственным поставщиком (подрядчиком, исполнителем) при осуществлении которых заключены после дня вступления в силу настоящего постановления, если иное не установлено Постановлением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Вместе с этим Комиссия Управления установлено, что обжалуемое извещение опубликовано Заказчиком </w:t>
      </w:r>
      <w:r>
        <w:rPr>
          <w:rStyle w:val="CharStyle12"/>
          <w:lang w:val="en-US" w:eastAsia="en-US"/>
        </w:rPr>
        <w:t>25.08.2025.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 xml:space="preserve">Таким образом, Комиссия Управления приходит к выводу, что Постановление </w:t>
      </w:r>
      <w:r>
        <w:rPr>
          <w:rStyle w:val="CharStyle12"/>
          <w:lang w:val="en-US" w:eastAsia="en-US"/>
        </w:rPr>
        <w:t xml:space="preserve">№2014 </w:t>
      </w:r>
      <w:r>
        <w:rPr>
          <w:rStyle w:val="CharStyle12"/>
        </w:rPr>
        <w:t xml:space="preserve">утратило силу и положения Постановления </w:t>
      </w:r>
      <w:r>
        <w:rPr>
          <w:rStyle w:val="CharStyle12"/>
          <w:lang w:val="en-US" w:eastAsia="en-US"/>
        </w:rPr>
        <w:t xml:space="preserve">№2014 </w:t>
      </w:r>
      <w:r>
        <w:rPr>
          <w:rStyle w:val="CharStyle12"/>
        </w:rPr>
        <w:t>не могут быть применены в отношении данной закупочной процедуры.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00"/>
        <w:jc w:val="both"/>
      </w:pPr>
      <w:r>
        <w:rPr>
          <w:rStyle w:val="CharStyle12"/>
        </w:rPr>
        <w:t>Одновременно с этим Комиссия Управления отмечает.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  <w:rPr>
          <w:sz w:val="24"/>
          <w:szCs w:val="24"/>
        </w:rPr>
        <w:sectPr>
          <w:headerReference w:type="default" r:id="rId17"/>
          <w:footerReference w:type="default" r:id="rId18"/>
          <w:footnotePr>
            <w:pos w:val="pageBottom"/>
            <w:numFmt w:val="decimal"/>
            <w:numRestart w:val="continuous"/>
          </w:footnotePr>
          <w:pgSz w:w="11900" w:h="16840"/>
          <w:pgMar w:top="1138" w:right="543" w:bottom="677" w:left="1100" w:header="0" w:footer="249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В силу ч.6 ст.14 Закона о контрактной системе по итогам года до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февраля года, следующего за отчетным годом, в единой информационной системе размещается отчет об объеме закупок товаров российского происхождения, работ, услуг, соответственно выполняемых, оказываемых российскими лицами, который формируется путем обработки содержащейся в единой информационной системе информации, включенной в реестр контрактов, заключенных заказчиками, а также путем формирования заказчиком информации об объеме закупок, информация о которых не подлежит в соответствии с Законом о контрактной системе размещению в единой информационной системе. В случаях, установленных в соответствии с </w:t>
      </w:r>
      <w:r>
        <w:rPr>
          <w:rStyle w:val="CharStyle12"/>
          <w:sz w:val="24"/>
          <w:szCs w:val="24"/>
          <w:lang w:val="en-US" w:eastAsia="en-US"/>
        </w:rPr>
        <w:t>2025-41240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частью </w:t>
      </w:r>
      <w:r>
        <w:rPr>
          <w:rStyle w:val="CharStyle12"/>
          <w:lang w:val="en-US" w:eastAsia="en-US"/>
        </w:rPr>
        <w:t xml:space="preserve">8 </w:t>
      </w:r>
      <w:r>
        <w:rPr>
          <w:rStyle w:val="CharStyle12"/>
        </w:rPr>
        <w:t xml:space="preserve">настоящей статьи, при которых отчет об объеме закупок товаров российского происхождения, работ, услуг, соответственно выполняемых, оказываемых российскими лицами, не подлежит размещению в единой информационной системе, заказчик до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февраля года, следующего за отчетным годом, составляет и направляет такой отчет в указанный в ч.7 ст.14 Закона о контрактной системе федеральный орган исполнительной власти.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силу ч.7 ст.14 Закона о контрактной системе рассмотрение предусмотренных ч.6 ст.14 Закона о контрактной системе настоящей статьи отчетов об объеме закупок товаров российского происхождения, работ, услуг, соответственно выполняемых, оказываемых российскими лицами, и оценка результатов осуществления в отчетном году таких закупок осуществляются уполномоченным Правительством Российской Федерации федеральным органом исполнительной власти до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марта года, следующего за отчетным годом.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Комиссия Управления отмечает, что исходя из буквального толкования положений ч.6,7 ст.14 Закона о контрактной системе, контроль исполнения вышеуказанных требований осуществляется по итогам прошедшего, а не текущего периода.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Кроме того, п.9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>определено, что Министерство финансов Российской Федерации федеральным органом исполнительной власти, уполномоченным на рассмотрение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учитывая, что в рамках рассмотрения данной жалобы Комиссия Управления по контролю в сфере закупок не обладает полномочиями по рассмотрению отчетов об объеме закупок товаров российского происхождения, работ, услуг, соответственно выполняемых, оказываемых российскими гражданами, российскими юридическими лицами, и оценку результатов осуществления в отчетном году таких закупок, рассмотрение доводов жалобы в отношении нарушении Заказчиком указанного постановления не может быть осуществлено.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6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 xml:space="preserve">В составе жалобы Заявитель также указывает, что Заказчиком неправомерно не установлен запрет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нужд, установленный Постановлением Правительства РФ от </w:t>
      </w:r>
      <w:r>
        <w:rPr>
          <w:rStyle w:val="CharStyle12"/>
          <w:lang w:val="en-US" w:eastAsia="en-US"/>
        </w:rPr>
        <w:t xml:space="preserve">16.11.2015 №1236 </w:t>
      </w:r>
      <w:r>
        <w:rPr>
          <w:rStyle w:val="CharStyle12"/>
        </w:rPr>
        <w:t xml:space="preserve">«Об утверждении Правил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за исключением Российской Федерации»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>№1236).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обоснование своей позиции Заявитель указывает, что закупаемый товар содержит в своем составе программное обеспечение, в связи с чем Заказчик обязан установить запрет на допуск программного обеспечения, происходящего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из иностранных государств, предусмотренный Постановлением </w:t>
      </w:r>
      <w:r>
        <w:rPr>
          <w:rStyle w:val="CharStyle12"/>
          <w:lang w:val="en-US" w:eastAsia="en-US"/>
        </w:rPr>
        <w:t>№1236.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Вместе с этим Комиссия Управления отмечает, что, ввиду вступления в силу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п.2 Постановлением </w:t>
      </w:r>
      <w:r>
        <w:rPr>
          <w:rStyle w:val="CharStyle12"/>
          <w:lang w:val="en-US" w:eastAsia="en-US"/>
        </w:rPr>
        <w:t xml:space="preserve">№1236, </w:t>
      </w:r>
      <w:r>
        <w:rPr>
          <w:rStyle w:val="CharStyle12"/>
        </w:rPr>
        <w:t xml:space="preserve">в редакции от </w:t>
      </w:r>
      <w:r>
        <w:rPr>
          <w:rStyle w:val="CharStyle12"/>
          <w:lang w:val="en-US" w:eastAsia="en-US"/>
        </w:rPr>
        <w:t xml:space="preserve">20.12.2017 </w:t>
      </w:r>
      <w:r>
        <w:rPr>
          <w:rStyle w:val="CharStyle12"/>
        </w:rPr>
        <w:t xml:space="preserve">которого был установлен запрет на допуск программ для электронных вычислительных машин и баз данных, реализуемых независимо от вида договора на материальном носителе и (или) в электронном виде по каналам связи, происходящих из иностранных государств, утратил силу с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января </w:t>
      </w:r>
      <w:r>
        <w:rPr>
          <w:rStyle w:val="CharStyle12"/>
          <w:lang w:val="en-US" w:eastAsia="en-US"/>
        </w:rPr>
        <w:t xml:space="preserve">2025 </w:t>
      </w:r>
      <w:r>
        <w:rPr>
          <w:rStyle w:val="CharStyle12"/>
        </w:rPr>
        <w:t>года.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Вместе с этим, как установлено Комиссией Управления, извещение об осуществлении закупки опубликовано Заказчиком </w:t>
      </w:r>
      <w:r>
        <w:rPr>
          <w:rStyle w:val="CharStyle12"/>
          <w:lang w:val="en-US" w:eastAsia="en-US"/>
        </w:rPr>
        <w:t xml:space="preserve">25.08.2025, </w:t>
      </w:r>
      <w:r>
        <w:rPr>
          <w:rStyle w:val="CharStyle12"/>
        </w:rPr>
        <w:t xml:space="preserve">в связи с чем довод Заявителя, на предмет нарушения требований Постановления </w:t>
      </w:r>
      <w:r>
        <w:rPr>
          <w:rStyle w:val="CharStyle12"/>
          <w:lang w:val="en-US" w:eastAsia="en-US"/>
        </w:rPr>
        <w:t xml:space="preserve">№1236, </w:t>
      </w:r>
      <w:r>
        <w:rPr>
          <w:rStyle w:val="CharStyle12"/>
        </w:rPr>
        <w:t>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Также в составе жалобы Заявитель указывает, что установленные Заказчиком требования к характеристикам необходимого к поставке изделия «Система ультразвуковой визуализации сердечно-сосудистой системы» ограничивают круг участников закупки, поскольку совокупности установленных требований к изделию не соответствует ни одно изделие, либо соответствует изделие конкретного производителя.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 соответствии с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сопровождение такого указания словами «или эквивалент»;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5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186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его формирования утверждаются Правительством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Таким образом, ст.33 Закона о контрактной систем содержит в себе закрытый перечень случаев, когда Заказчик вправе закупать товары конкретного производителя (пп. «б»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«г» п.1 ч.1 ст.33 Закона о контрактной системе), во всех остальных случаях, совокупности всех требований извещения, в том числе и всем требованиям описания объекта закупки, должны соответствовать товары как минимум двух различных производителей.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Вместе с тем обязанность по формированию описания объекта закупки в соответствии с положениями ст.33 Закона о контрактной системе возложена на Заказчика, следовательно, именно Заказчик при формировании извещения об осуществлении закупочной процедуры должен обладать документальным подтверждением соответствие описания объекта закупки требованиям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требования к характеристикам закупаемого изделия установлены Заказчиком в соответствии с потребностью учреждения, при этом, вопреки доводам жалобы, совокупности требований извещения соответствуют изделия нескольких различных производителей, например: изделие производства «Медистам АСА» регистрационного удостоверения №РЗН </w:t>
      </w:r>
      <w:r>
        <w:rPr>
          <w:rStyle w:val="CharStyle12"/>
          <w:lang w:val="en-US" w:eastAsia="en-US"/>
        </w:rPr>
        <w:t xml:space="preserve">2017/5920, </w:t>
      </w:r>
      <w:r>
        <w:rPr>
          <w:rStyle w:val="CharStyle12"/>
        </w:rPr>
        <w:t xml:space="preserve">изделие производства </w:t>
      </w:r>
      <w:r>
        <w:rPr>
          <w:rStyle w:val="CharStyle12"/>
          <w:lang w:val="en-US" w:eastAsia="en-US"/>
        </w:rPr>
        <w:t xml:space="preserve">IntraSight </w:t>
      </w:r>
      <w:r>
        <w:rPr>
          <w:rStyle w:val="CharStyle12"/>
        </w:rPr>
        <w:t xml:space="preserve">регистрационного удостоверения №РЗН </w:t>
      </w:r>
      <w:r>
        <w:rPr>
          <w:rStyle w:val="CharStyle12"/>
          <w:lang w:val="en-US" w:eastAsia="en-US"/>
        </w:rPr>
        <w:t>2022/17677.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Помимо этого представитель Заказчика отметил, что требования к характеристикам закупаемого изделия формировались Заказчиком в соответствии с позицией каталога товаров, работ, услуг для обеспечения государственных и муниципальных нужд.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 обоснование своей позиции Заказчик представил на заседании Комиссии Управления, сравнительную таблицу описания объекта закупки и характеристик медицинских изделий «Медистам АСА» и </w:t>
      </w:r>
      <w:r>
        <w:rPr>
          <w:rStyle w:val="CharStyle12"/>
          <w:lang w:val="en-US" w:eastAsia="en-US"/>
        </w:rPr>
        <w:t xml:space="preserve">IntraSight, </w:t>
      </w:r>
      <w:r>
        <w:rPr>
          <w:rStyle w:val="CharStyle12"/>
        </w:rPr>
        <w:t xml:space="preserve">скриншоты с указанием наличия характеристик на указанные изделия «Медистам АСА» и </w:t>
      </w:r>
      <w:r>
        <w:rPr>
          <w:rStyle w:val="CharStyle12"/>
          <w:lang w:val="en-US" w:eastAsia="en-US"/>
        </w:rPr>
        <w:t xml:space="preserve">IntraSight, </w:t>
      </w:r>
      <w:r>
        <w:rPr>
          <w:rStyle w:val="CharStyle12"/>
        </w:rPr>
        <w:t xml:space="preserve">а также номера регистрационных удостоверений </w:t>
      </w:r>
      <w:r>
        <w:rPr>
          <w:rStyle w:val="CharStyle12"/>
          <w:lang w:val="en-US" w:eastAsia="en-US"/>
        </w:rPr>
        <w:t xml:space="preserve">№№ </w:t>
      </w:r>
      <w:r>
        <w:rPr>
          <w:rStyle w:val="CharStyle12"/>
        </w:rPr>
        <w:t xml:space="preserve">РЗН </w:t>
      </w:r>
      <w:r>
        <w:rPr>
          <w:rStyle w:val="CharStyle12"/>
          <w:lang w:val="en-US" w:eastAsia="en-US"/>
        </w:rPr>
        <w:t xml:space="preserve">2017/5920 </w:t>
      </w:r>
      <w:r>
        <w:rPr>
          <w:rStyle w:val="CharStyle12"/>
        </w:rPr>
        <w:t xml:space="preserve">и РЗН </w:t>
      </w:r>
      <w:r>
        <w:rPr>
          <w:rStyle w:val="CharStyle12"/>
          <w:lang w:val="en-US" w:eastAsia="en-US"/>
        </w:rPr>
        <w:t>2022/17677.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Заказчиком предоставлены документы и сведения, свидетельствующие о соответствии как минимум двух изделий различных производителей оспариваемым требованиям описания объекта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Вместе с тем в материалах жалобы Заявителем не представлено документов и сведений, подтверждающих обоснованность вышеуказанных доводов, в том числе, в части невозможности подготовки заявки на участие в аукционе и ограничения количества участников закупок, а также свидетельствующих о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>нарушении Заказчиком норм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Резюмируя вышеизложенное, Комиссия Управления приходит к выводу, что довод жалобы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21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Также в составе жалобы Заявитель указывает, что структурированная форма извещения сформирована Заказчиком в нарушение положений Закона о контрактной системе, так как в составе извещения отсутствует в отдельном файле техническое задание, в четком соответствии с описанием объекта закупки отраженном в извещении.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Вместе с этим Комиссией Управления установлено, что в составе жалобы, а также на заседании Комиссии Управления Заявителем, не указаны положения извещения, описания объекта закупки, являющиеся противоречивыми и/или неполными в той или иной части,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указанный довод Заявителя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93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В составе жалобы Заявитель также указывает, что в извещении не указаны контактные данные лица Заказчика, при этом, по мнению Заявителя, в извещении подлежат указанию контактные данные лица, являющегося конечным получателем оборудования.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п.1 ч.1 ст.42 Закона о контрактной системе извещение об осуществлении закупки должно содержать наименование, место нахождения, почтовый адрес, адрес электронной почты, номер контактного телефона, ответственное должностное лицо заказчика, специализированной организации (в случае ее привлечения заказчиком).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составе электронного документа «Информационная карта» извещения Заказчиком размещена в том числе следующая информация: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«Ответственное должностное лицо или контрактный управляющий: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ФИО: Конюхова Кира Вячеславовна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Телефон: </w:t>
      </w:r>
      <w:r>
        <w:rPr>
          <w:rStyle w:val="CharStyle12"/>
          <w:lang w:val="en-US" w:eastAsia="en-US"/>
        </w:rPr>
        <w:t>+7 (495) 375-35-61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Электронная почта: </w:t>
      </w:r>
      <w:r>
        <w:fldChar w:fldCharType="begin"/>
      </w:r>
      <w:r>
        <w:rPr/>
        <w:instrText> HYPERLINK "mailto:GKBIzakupki.gkb15@zdrav.mos.ru" </w:instrText>
      </w:r>
      <w:r>
        <w:fldChar w:fldCharType="separate"/>
      </w:r>
      <w:r>
        <w:rPr>
          <w:rStyle w:val="CharStyle12"/>
          <w:lang w:val="en-US" w:eastAsia="en-US"/>
        </w:rPr>
        <w:t>GKBIzakupki.gkb15@zdrav.mos.ru</w:t>
      </w:r>
      <w:r>
        <w:fldChar w:fldCharType="end"/>
      </w:r>
      <w:r>
        <w:rPr>
          <w:rStyle w:val="CharStyle12"/>
          <w:lang w:val="en-US" w:eastAsia="en-US"/>
        </w:rPr>
        <w:t xml:space="preserve"> 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Комиссия Управления отмечает, что Законом о контрактной системе не предусмотрена обязанность Заказчика размещать в извещении сведения о сотрудниках, фактических получателях закупаемого оборудования, в связи с чем размещение вышеуказанной информации об ответственном лице и его контактных данных (контактных данных Заказчика) является надлежащим исполнением требований п.1 ч.1 ст.42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083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Одновременно с этим в составе жалобы Заявитель указывает, что составе извещения, в том числе в проекте контракта, не содержится сведений о сроке действия и окончания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п.8 ч.1 ст.42 Закона о контрактной системе извещение об осуществлении закупки должно содержать срок исполнения контракта (отдельных этапов исполнения контракта, если проектом контракта предусмотрены такие этапы).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п.5 ч.2 ст.42 Закона о контрактной системе извещение об осуществлении закупки, если иное не предусмотрено Законом о контрактной системе, должно содержать электронный документ, содержащий проект контракта.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Комиссией Управления установлено, что в составе извещения Заказчиком размещена в том числе следующая информация: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4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«Дата начала исполнения контракта: с даты заключения контракта»;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44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«Срок исполнения контракта: </w:t>
      </w:r>
      <w:r>
        <w:rPr>
          <w:rStyle w:val="CharStyle12"/>
          <w:lang w:val="en-US" w:eastAsia="en-US"/>
        </w:rPr>
        <w:t>30.12.2025».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ч.1 ст.34 Закона о контрактной системе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о контрактной системе извещение об осуществлении закупки или приглашение, документация о закупке, заявка не предусмотрены. В случае, предусмотренном ч.24 ст.22 Закона о контрактной системе, контракт должен содержать порядок определения количества поставляемого товара, объема выполняемой работы, оказываемой услуги на основании заявок заказчика.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Исходя из вышеизложенного Комиссия Управления приходит к выводу, что сведения о сроках исполнения контракта размещены Заказчиком в составе извещения.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данный довод жалобы не нашел своего подтверждения и является необоснованным.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119" w:left="1101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Признать жалобу ИП Кравченко А.В. на действия ГБУЗ «ГКБ </w:t>
      </w:r>
      <w:r>
        <w:rPr>
          <w:rStyle w:val="CharStyle12"/>
          <w:lang w:val="en-US" w:eastAsia="en-US"/>
        </w:rPr>
        <w:t xml:space="preserve">№ 15 </w:t>
      </w:r>
      <w:r>
        <w:rPr>
          <w:rStyle w:val="CharStyle12"/>
        </w:rPr>
        <w:t>ДЗМ» необоснованной.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1421" w:val="left"/>
        </w:tabs>
        <w:bidi w:val="0"/>
        <w:spacing w:before="0" w:after="240" w:line="240" w:lineRule="auto"/>
        <w:ind w:left="0" w:right="0" w:firstLine="700"/>
        <w:jc w:val="both"/>
      </w:pPr>
      <w:r>
        <w:rPr>
          <w:rStyle w:val="CharStyle12"/>
        </w:rPr>
        <w:t>Снять ограничения, наложенные на определение поставщика (подрядчика, исполнителя).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2" w:bottom="158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340995" distL="0" distR="0" simplePos="0" relativeHeight="125829380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127000</wp:posOffset>
                </wp:positionV>
                <wp:extent cx="1844040" cy="250190"/>
                <wp:wrapTopAndBottom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58.200000000000003pt;margin-top:10.pt;width:145.20000000000002pt;height:19.699999999999999pt;z-index:-125829373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63830" distB="0" distL="0" distR="1786255" simplePos="0" relativeHeight="125829382" behindDoc="0" locked="0" layoutInCell="1" allowOverlap="1">
            <wp:simplePos x="0" y="0"/>
            <wp:positionH relativeFrom="page">
              <wp:posOffset>3037205</wp:posOffset>
            </wp:positionH>
            <wp:positionV relativeFrom="paragraph">
              <wp:posOffset>163830</wp:posOffset>
            </wp:positionV>
            <wp:extent cx="389890" cy="554990"/>
            <wp:wrapTopAndBottom/>
            <wp:docPr id="26" name="Shape 2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box 2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3531235</wp:posOffset>
                </wp:positionH>
                <wp:positionV relativeFrom="paragraph">
                  <wp:posOffset>602615</wp:posOffset>
                </wp:positionV>
                <wp:extent cx="1283335" cy="100330"/>
                <wp:wrapNone/>
                <wp:docPr id="28" name="Shape 2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7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4" type="#_x0000_t202" style="position:absolute;margin-left:278.05000000000001pt;margin-top:47.450000000000003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7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285750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4.90000000000003pt;margin-top:22.5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340995" distL="0" distR="0" simplePos="0" relativeHeight="125829383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127000</wp:posOffset>
                </wp:positionV>
                <wp:extent cx="1304290" cy="250190"/>
                <wp:wrapTopAndBottom/>
                <wp:docPr id="32" name="Shape 3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12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8" type="#_x0000_t202" style="position:absolute;margin-left:465.69999999999999pt;margin-top:10.pt;width:102.7pt;height:19.699999999999999pt;z-index:-125829370;mso-wrap-distance-left:0;mso-wrap-distance-top:10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12"/>
                        </w:rPr>
                        <w:t>А.А. Кутейников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Кутейников Антон Андреевич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67950889C45403E5BD9EBC88A8D80C0D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19.05.2025 </w:t>
      </w:r>
      <w:r>
        <w:rPr>
          <w:rStyle w:val="CharStyle20"/>
          <w:color w:val="555555"/>
        </w:rPr>
        <w:t xml:space="preserve">по </w:t>
      </w:r>
      <w:r>
        <w:rPr>
          <w:rStyle w:val="CharStyle20"/>
        </w:rPr>
        <w:t>12.08.2026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5" behindDoc="0" locked="0" layoutInCell="1" allowOverlap="1">
                <wp:simplePos x="0" y="0"/>
                <wp:positionH relativeFrom="page">
                  <wp:posOffset>5981700</wp:posOffset>
                </wp:positionH>
                <wp:positionV relativeFrom="paragraph">
                  <wp:posOffset>266700</wp:posOffset>
                </wp:positionV>
                <wp:extent cx="1240790" cy="252730"/>
                <wp:wrapSquare wrapText="left"/>
                <wp:docPr id="34" name="Shape 3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407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2"/>
                              </w:rPr>
                              <w:t>М.В. Сорбучева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0" type="#_x0000_t202" style="position:absolute;margin-left:471.pt;margin-top:21.pt;width:97.700000000000003pt;height:19.900000000000002pt;z-index:-1258293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2"/>
                        </w:rPr>
                        <w:t>М.В. Сорбучева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Style w:val="CharStyle12"/>
        </w:rPr>
        <w:t>Члены Комиссии:</w:t>
      </w: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4400" w:right="0" w:firstLine="0"/>
        <w:jc w:val="left"/>
      </w:pPr>
      <w:r>
        <w:rPr>
          <w:rStyle w:val="CharStyle25"/>
        </w:rPr>
        <w:t>Подлинник электронного документа, подписанного ЭП, хранится в системе электронного документооборота ФАС России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60" w:right="0" w:firstLine="0"/>
        <w:jc w:val="left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</w:t>
      </w:r>
      <w:r>
        <w:rPr>
          <w:rStyle w:val="CharStyle20"/>
          <w:color w:val="555555"/>
        </w:rPr>
        <w:t xml:space="preserve">выдан: </w:t>
      </w:r>
      <w:r>
        <w:rPr>
          <w:rStyle w:val="CharStyle20"/>
          <w:color w:val="000000"/>
        </w:rPr>
        <w:t>Сорбучева Мария Васильевна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00F3B71218F970424B4D41C7997434F304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rStyle w:val="CharStyle20"/>
        </w:rPr>
        <w:t xml:space="preserve">Действителен с 19.09.2024 </w:t>
      </w:r>
      <w:r>
        <w:rPr>
          <w:rStyle w:val="CharStyle20"/>
          <w:color w:val="555555"/>
        </w:rPr>
        <w:t>по 13.12.2025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00555" simplePos="0" relativeHeight="125829387" behindDoc="0" locked="0" layoutInCell="1" allowOverlap="1">
            <wp:simplePos x="0" y="0"/>
            <wp:positionH relativeFrom="page">
              <wp:posOffset>3070860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36" name="Shape 3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box 37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3491230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38" name="Shape 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4" type="#_x0000_t202" style="position:absolute;margin-left:274.90000000000003pt;margin-top:11.950000000000001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О.А.Челнова</w:t>
      </w:r>
    </w:p>
    <w:p>
      <w:pPr>
        <w:pStyle w:val="Style24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4460" w:right="0" w:firstLine="0"/>
        <w:jc w:val="left"/>
        <w:rPr>
          <w:sz w:val="12"/>
          <w:szCs w:val="12"/>
        </w:rPr>
      </w:pPr>
      <w:r>
        <w:rPr>
          <w:rStyle w:val="CharStyle25"/>
          <w:color w:val="FFFFFF"/>
          <w:sz w:val="12"/>
          <w:szCs w:val="12"/>
        </w:rPr>
        <w:t>СВЕДЕНИЯ О СЕРТИФИКАТЕ ЭП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Кому выдан: </w:t>
      </w:r>
      <w:r>
        <w:rPr>
          <w:rStyle w:val="CharStyle20"/>
          <w:color w:val="000000"/>
        </w:rPr>
        <w:t>Челнова Олеся Антоновна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0"/>
        </w:rPr>
        <w:t xml:space="preserve">Сертификат </w:t>
      </w:r>
      <w:r>
        <w:rPr>
          <w:rStyle w:val="CharStyle20"/>
          <w:color w:val="292929"/>
        </w:rPr>
        <w:t xml:space="preserve">№ </w:t>
      </w:r>
      <w:r>
        <w:rPr>
          <w:rStyle w:val="CharStyle20"/>
          <w:lang w:val="en-US" w:eastAsia="en-US"/>
        </w:rPr>
        <w:t>05605B6072C3BC92D25AFCA81C80B531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4380" w:line="240" w:lineRule="auto"/>
        <w:ind w:right="0" w:firstLine="0"/>
        <w:jc w:val="left"/>
      </w:pPr>
      <w:r>
        <w:rPr>
          <w:rStyle w:val="CharStyle20"/>
        </w:rPr>
        <w:t xml:space="preserve">Действителен с 23.05.2025 </w:t>
      </w:r>
      <w:r>
        <w:rPr>
          <w:rStyle w:val="CharStyle20"/>
          <w:color w:val="555555"/>
        </w:rPr>
        <w:t xml:space="preserve">по </w:t>
      </w:r>
      <w:r>
        <w:rPr>
          <w:rStyle w:val="CharStyle20"/>
        </w:rPr>
        <w:t>16.08.2026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Исп.Сорбучева М.В. 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2025-41240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6.899999999999999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2025-41240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0350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2025-41240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6.899999999999999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2025-41240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16" name="Shape 1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2025-41240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57.200000000000003pt;margin-top:794.70000000000005pt;width:56.899999999999999pt;height:8.1500000000000004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2025-41240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3505"/>
              <wp:wrapNone/>
              <wp:docPr id="22" name="Shape 2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2025-41240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8" type="#_x0000_t202" style="position:absolute;margin-left:57.200000000000003pt;margin-top:794.70000000000005pt;width:56.899999999999999pt;height:8.1500000000000004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2025-41240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371475</wp:posOffset>
              </wp:positionV>
              <wp:extent cx="14033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10000000000002pt;margin-top:29.25pt;width:11.05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9.25pt;margin-top:37.5pt;width:4.5499999999999998pt;height:5.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371475</wp:posOffset>
              </wp:positionV>
              <wp:extent cx="140335" cy="6985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306.10000000000002pt;margin-top:29.25pt;width:11.050000000000001pt;height:5.5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476250</wp:posOffset>
              </wp:positionV>
              <wp:extent cx="57785" cy="6985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309.25pt;margin-top:37.5pt;width:4.5499999999999998pt;height:5.5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371475</wp:posOffset>
              </wp:positionV>
              <wp:extent cx="140335" cy="6985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6" type="#_x0000_t202" style="position:absolute;margin-left:306.10000000000002pt;margin-top:29.25pt;width:11.050000000000001pt;height:5.5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8">
    <w:multiLevelType w:val="multilevel"/>
    <w:lvl w:ilvl="0">
      <w:start w:val="3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12">
    <w:multiLevelType w:val="multilevel"/>
    <w:lvl w:ilvl="0">
      <w:start w:val="7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6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Picture caption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2)_"/>
    <w:basedOn w:val="DefaultParagraphFont"/>
    <w:link w:val="Style1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5">
    <w:name w:val="Body text (4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8">
    <w:name w:val="Body text (5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Picture caption"/>
    <w:basedOn w:val="Normal"/>
    <w:link w:val="CharStyle17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2)"/>
    <w:basedOn w:val="Normal"/>
    <w:link w:val="CharStyle20"/>
    <w:pPr>
      <w:widowControl w:val="0"/>
      <w:shd w:val="clear" w:color="auto" w:fill="auto"/>
      <w:ind w:left="376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4">
    <w:name w:val="Body text (4)"/>
    <w:basedOn w:val="Normal"/>
    <w:link w:val="CharStyle25"/>
    <w:pPr>
      <w:widowControl w:val="0"/>
      <w:shd w:val="clear" w:color="auto" w:fill="auto"/>
      <w:spacing w:after="100"/>
      <w:ind w:left="443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1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header" Target="header5.xml"/><Relationship Id="rId18" Type="http://schemas.openxmlformats.org/officeDocument/2006/relationships/footer" Target="footer5.xml"/><Relationship Id="rId19" Type="http://schemas.openxmlformats.org/officeDocument/2006/relationships/header" Target="header6.xml"/><Relationship Id="rId20" Type="http://schemas.openxmlformats.org/officeDocument/2006/relationships/footer" Target="footer6.xml"/><Relationship Id="rId21" Type="http://schemas.openxmlformats.org/officeDocument/2006/relationships/image" Target="media/image3.jpeg"/><Relationship Id="rId22" Type="http://schemas.openxmlformats.org/officeDocument/2006/relationships/image" Target="media/image3.jpeg" TargetMode="External"/><Relationship Id="rId23" Type="http://schemas.openxmlformats.org/officeDocument/2006/relationships/image" Target="media/image4.jpeg"/><Relationship Id="rId24" Type="http://schemas.openxmlformats.org/officeDocument/2006/relationships/image" Target="media/image4.jpeg" TargetMode="External"/></Relationships>
</file>