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3"/>
        </w:rPr>
        <w:t>e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after="120" w:line="288" w:lineRule="auto"/>
        <w:ind w:left="0" w:right="0" w:firstLine="0"/>
        <w:jc w:val="center"/>
        <w:rPr>
          <w:sz w:val="17"/>
          <w:szCs w:val="17"/>
        </w:rPr>
      </w:pPr>
      <w:r>
        <w:rPr>
          <w:rStyle w:val="CharStyle8"/>
          <w:b/>
          <w:bCs/>
          <w:sz w:val="17"/>
          <w:szCs w:val="17"/>
        </w:rPr>
        <w:t>ФЕДЕРАЛЬНАЯ</w:t>
        <w:br/>
        <w:t>АНТИМОНОПОЛЬНАЯ СЛУЖБА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Style w:val="CharStyle11"/>
          <w:b/>
          <w:bCs/>
        </w:rPr>
        <w:t>УПРАВЛЕНИЕ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center"/>
      </w:pPr>
      <w:r>
        <w:rPr>
          <w:rStyle w:val="CharStyle11"/>
          <w:b/>
          <w:bCs/>
        </w:rPr>
        <w:t>Федеральной антимонопольной службы</w:t>
        <w:br/>
        <w:t>по Ставропольскому краю</w:t>
      </w:r>
    </w:p>
    <w:p>
      <w:pPr>
        <w:pStyle w:val="Style7"/>
        <w:keepNext w:val="0"/>
        <w:keepLines w:val="0"/>
        <w:widowControl w:val="0"/>
        <w:shd w:val="clear" w:color="auto" w:fill="auto"/>
        <w:bidi w:val="0"/>
        <w:spacing w:before="0" w:line="276" w:lineRule="auto"/>
        <w:ind w:left="0" w:right="0" w:firstLine="0"/>
        <w:jc w:val="center"/>
      </w:pPr>
      <w:r>
        <w:rPr>
          <w:rStyle w:val="CharStyle8"/>
        </w:rPr>
        <w:t>ул. Ленина, 384, г. Ставрополь, 355003</w:t>
        <w:br/>
        <w:t>тел. (8652) 25-74-05, факс (8652) 35-28-09</w:t>
        <w:br/>
      </w:r>
      <w:r>
        <w:rPr>
          <w:rStyle w:val="CharStyle8"/>
          <w:lang w:val="en-US" w:eastAsia="en-US"/>
        </w:rPr>
        <w:t xml:space="preserve">e-mail: </w:t>
      </w:r>
      <w:r>
        <w:fldChar w:fldCharType="begin"/>
      </w:r>
      <w:r>
        <w:rPr/>
        <w:instrText> HYPERLINK "mailto:to26@fas.gov.ru" </w:instrText>
      </w:r>
      <w:r>
        <w:fldChar w:fldCharType="separate"/>
      </w:r>
      <w:r>
        <w:rPr>
          <w:rStyle w:val="CharStyle8"/>
          <w:lang w:val="en-US" w:eastAsia="en-US"/>
        </w:rPr>
        <w:t>to26@fas.gov.ru</w:t>
      </w:r>
      <w:r>
        <w:fldChar w:fldCharType="end"/>
      </w:r>
    </w:p>
    <w:p>
      <w:pPr>
        <w:pStyle w:val="Style12"/>
        <w:keepNext/>
        <w:keepLines/>
        <w:widowControl w:val="0"/>
        <w:shd w:val="clear" w:color="auto" w:fill="auto"/>
        <w:tabs>
          <w:tab w:pos="1819" w:val="left"/>
        </w:tabs>
        <w:bidi w:val="0"/>
        <w:spacing w:before="0" w:line="240" w:lineRule="auto"/>
        <w:ind w:left="0" w:right="0" w:firstLine="0"/>
        <w:jc w:val="left"/>
      </w:pPr>
      <w:bookmarkStart w:id="0" w:name="bookmark0"/>
      <w:r>
        <w:rPr>
          <w:rStyle w:val="CharStyle13"/>
          <w:u w:val="none"/>
        </w:rPr>
        <w:t>1</w:t>
      </w:r>
      <w:r>
        <w:fldChar w:fldCharType="begin"/>
      </w:r>
      <w:r>
        <w:rPr/>
        <w:instrText> HYPERLINK "file://f207ca94-a13c-4ba0-b72d-f018c9eed8f1/" </w:instrText>
      </w:r>
      <w:r>
        <w:fldChar w:fldCharType="separate"/>
      </w:r>
      <w:r>
        <w:rPr>
          <w:rStyle w:val="CharStyle13"/>
          <w:u w:val="none"/>
        </w:rPr>
        <w:t>1.</w:t>
      </w:r>
      <w:r>
        <w:rPr>
          <w:rStyle w:val="CharStyle13"/>
        </w:rPr>
        <w:t>09.2025</w:t>
      </w:r>
      <w:r>
        <w:rPr>
          <w:rStyle w:val="CharStyle13"/>
          <w:u w:val="none"/>
        </w:rPr>
        <w:tab/>
      </w:r>
      <w:r>
        <w:fldChar w:fldCharType="end"/>
      </w:r>
      <w:r>
        <w:rPr>
          <w:rStyle w:val="CharStyle13"/>
          <w:u w:val="none"/>
        </w:rPr>
        <w:t xml:space="preserve">№ </w:t>
      </w:r>
      <w:r>
        <w:rPr>
          <w:rStyle w:val="CharStyle13"/>
        </w:rPr>
        <w:t>ЕС/10904/2</w:t>
      </w:r>
      <w:r>
        <w:rPr>
          <w:rStyle w:val="CharStyle13"/>
          <w:u w:val="none"/>
        </w:rPr>
        <w:t>5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20" w:line="266" w:lineRule="auto"/>
        <w:ind w:left="0" w:right="0" w:firstLine="0"/>
        <w:jc w:val="left"/>
        <w:rPr>
          <w:sz w:val="18"/>
          <w:szCs w:val="18"/>
        </w:rPr>
      </w:pPr>
      <w:r>
        <w:rPr>
          <w:rStyle w:val="CharStyle11"/>
          <w:sz w:val="18"/>
          <w:szCs w:val="18"/>
        </w:rPr>
        <w:t xml:space="preserve">На №  от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</w:pPr>
      <w:r>
        <w:rPr>
          <w:rStyle w:val="CharStyle17"/>
          <w:sz w:val="24"/>
          <w:szCs w:val="24"/>
        </w:rPr>
        <w:t>Решение 1945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Заявитель: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ООО «АСМ-МЕД»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rStyle w:val="CharStyle20"/>
        </w:rPr>
        <w:t xml:space="preserve">129626, г. Москва, муниципальный округ Алексеевский, пр-кт Мира, д. 102, к. 1, помещ. 3/7 </w:t>
      </w:r>
      <w:r>
        <w:fldChar w:fldCharType="begin"/>
      </w:r>
      <w:r>
        <w:rPr/>
        <w:instrText> HYPERLINK "mailto:abd@asm-med.ru" </w:instrText>
      </w:r>
      <w:r>
        <w:fldChar w:fldCharType="separate"/>
      </w:r>
      <w:r>
        <w:rPr>
          <w:rStyle w:val="CharStyle20"/>
          <w:color w:val="000080"/>
          <w:u w:val="single"/>
          <w:lang w:val="en-US" w:eastAsia="en-US"/>
        </w:rPr>
        <w:t>abd@asm-med.ru</w:t>
      </w:r>
      <w:r>
        <w:fldChar w:fldCharType="end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Заказчик: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erReference w:type="default" r:id="rId5"/>
          <w:footerReference w:type="first" r:id="rId6"/>
          <w:footnotePr>
            <w:pos w:val="pageBottom"/>
            <w:numFmt w:val="decimal"/>
            <w:numRestart w:val="continuous"/>
          </w:footnotePr>
          <w:pgSz w:w="11900" w:h="16840"/>
          <w:pgMar w:top="58" w:right="1256" w:bottom="1202" w:left="1135" w:header="0" w:footer="3" w:gutter="0"/>
          <w:pgNumType w:start="1"/>
          <w:cols w:num="2" w:space="927"/>
          <w:noEndnote/>
          <w:titlePg/>
          <w:rtlGutter w:val="0"/>
          <w:docGrid w:linePitch="360"/>
        </w:sectPr>
      </w:pPr>
      <w:r>
        <w:rPr>
          <w:rStyle w:val="CharStyle20"/>
        </w:rPr>
        <w:t xml:space="preserve">ГБУЗ СК «Городская клиническая больница №3» города Ставрополя 355029, Ставропольский край, г. Ставрополь, ул. Ленина, д. 417 </w:t>
      </w:r>
      <w:r>
        <w:fldChar w:fldCharType="begin"/>
      </w:r>
      <w:r>
        <w:rPr/>
        <w:instrText> HYPERLINK "mailto:inessa.vinogradova@gmail.com" </w:instrText>
      </w:r>
      <w:r>
        <w:fldChar w:fldCharType="separate"/>
      </w:r>
      <w:r>
        <w:rPr>
          <w:rStyle w:val="CharStyle20"/>
          <w:color w:val="000080"/>
          <w:u w:val="single"/>
          <w:lang w:val="en-US" w:eastAsia="en-US"/>
        </w:rPr>
        <w:t>inessa.vinogradova@gmail.com</w:t>
      </w:r>
      <w:r>
        <w:fldChar w:fldCharType="end"/>
      </w:r>
    </w:p>
    <w:p>
      <w:pPr>
        <w:widowControl w:val="0"/>
        <w:spacing w:line="210" w:lineRule="exact"/>
        <w:rPr>
          <w:sz w:val="17"/>
          <w:szCs w:val="1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" w:right="0" w:bottom="1202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20"/>
          <w:b/>
          <w:bCs/>
        </w:rPr>
        <w:t>Р Е Ш Е Н И Е</w:t>
        <w:br/>
      </w:r>
      <w:r>
        <w:rPr>
          <w:rStyle w:val="CharStyle20"/>
        </w:rPr>
        <w:t>по делу № 026/06/106-1945/2025</w:t>
        <w:br/>
        <w:t>о нарушении законодательства о закупках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8544" w:val="left"/>
        </w:tabs>
        <w:bidi w:val="0"/>
        <w:spacing w:before="0" w:after="280" w:line="240" w:lineRule="auto"/>
        <w:ind w:left="0" w:right="0" w:firstLine="0"/>
        <w:jc w:val="both"/>
      </w:pPr>
      <w:r>
        <w:rPr>
          <w:rStyle w:val="CharStyle20"/>
        </w:rPr>
        <w:t>08.09.2025 года</w:t>
        <w:tab/>
        <w:t>г. Ставрополь</w:t>
      </w:r>
    </w:p>
    <w:p>
      <w:pPr>
        <w:pStyle w:val="Style19"/>
        <w:keepNext w:val="0"/>
        <w:keepLines w:val="0"/>
        <w:widowControl w:val="0"/>
        <w:shd w:val="clear" w:color="auto" w:fill="auto"/>
        <w:tabs>
          <w:tab w:pos="2257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>Комиссия</w:t>
        <w:tab/>
        <w:t>Управления Федеральной антимонопольной службы по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>Ставропольскому краю по контролю в сфере закупок (далее – Комиссия) в составе: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>Председателя Комиссии, заместителя руководителя Управления Федеральной антимонопольной службы по Ставропольскому краю Е.А. Соколова,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>Членов комиссии: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>ведущего специалиста-эксперта отдела контроля закупок Управления Федеральной антимонопольной службы по Ставропольскому краю Ю.В. Булгаковой, специалиста-эксперта отдела контроля закупок Управления Федеральной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both"/>
      </w:pPr>
      <w:r>
        <w:rPr>
          <w:rStyle w:val="CharStyle20"/>
        </w:rPr>
        <w:t>антимонопольной службы по Ставропольскому краю П.В. Поповой,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20"/>
        </w:rPr>
        <w:t>в присутствии представителя ООО «АСМ-МЕД» Ширшова К.М. посредством видео-конференц связи и представителя ГБУЗ СК «Городская клиническая больница №3» города Ставрополя Серикова Сергея Владимировича,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20"/>
          <w:b/>
          <w:bCs/>
        </w:rPr>
        <w:t>У С Т А Н О В И Л А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40"/>
        <w:jc w:val="both"/>
      </w:pPr>
      <w:r>
        <w:rPr>
          <w:rStyle w:val="CharStyle20"/>
        </w:rPr>
        <w:t>02.09.2025 г. в Управление Федеральной антимонопольной службы по Ставропольскому краю (далее – Управление) поступила жалоба ООО «АСМ-МЕД» (далее – Заявитель) на действия ГБУЗ СК «Городская клиническая больница №3» города Ставрополя (далее – Заказчик) по факту осуществления закупки путем проведения аукциона в электронной форме №0321300022325000233 «поставка</w:t>
      </w:r>
    </w:p>
    <w:p>
      <w:pPr>
        <w:pStyle w:val="Style26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bookmarkStart w:id="2" w:name="bookmark2"/>
      <w:r>
        <w:rPr>
          <w:rStyle w:val="CharStyle27"/>
        </w:rPr>
        <w:t>llllllllllllinilllllllll</w:t>
      </w:r>
      <w:bookmarkEnd w:id="2"/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 xml:space="preserve">расходного материала» (далее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>закупка).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 xml:space="preserve">Жалоба в порядке ст. ст. </w:t>
      </w:r>
      <w:r>
        <w:rPr>
          <w:rStyle w:val="CharStyle20"/>
          <w:lang w:val="en-US" w:eastAsia="en-US"/>
        </w:rPr>
        <w:t xml:space="preserve">105, 106 </w:t>
      </w:r>
      <w:r>
        <w:rPr>
          <w:rStyle w:val="CharStyle20"/>
        </w:rPr>
        <w:t xml:space="preserve">Федерального закона от </w:t>
      </w:r>
      <w:r>
        <w:rPr>
          <w:rStyle w:val="CharStyle20"/>
          <w:lang w:val="en-US" w:eastAsia="en-US"/>
        </w:rPr>
        <w:t xml:space="preserve">05.04.2013 № </w:t>
      </w:r>
      <w:r>
        <w:rPr>
          <w:rStyle w:val="CharStyle20"/>
        </w:rPr>
        <w:t xml:space="preserve">44-ФЗ «О контрактной системе в сфере закупок товаров, работ, услуг для государственных и муниципальных нужд» 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Закон </w:t>
      </w:r>
      <w:r>
        <w:rPr>
          <w:rStyle w:val="CharStyle20"/>
          <w:lang w:val="en-US" w:eastAsia="en-US"/>
        </w:rPr>
        <w:t xml:space="preserve">№ </w:t>
      </w:r>
      <w:r>
        <w:rPr>
          <w:rStyle w:val="CharStyle20"/>
        </w:rPr>
        <w:t xml:space="preserve">44-ФЗ) принята к рассмотрению и назначена на </w:t>
      </w:r>
      <w:r>
        <w:rPr>
          <w:rStyle w:val="CharStyle20"/>
          <w:lang w:val="en-US" w:eastAsia="en-US"/>
        </w:rPr>
        <w:t xml:space="preserve">08.09.2025 </w:t>
      </w:r>
      <w:r>
        <w:rPr>
          <w:rStyle w:val="CharStyle20"/>
        </w:rPr>
        <w:t>г. с вызовом сторон по делу.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  <w:lang w:val="en-US" w:eastAsia="en-US"/>
        </w:rPr>
        <w:t xml:space="preserve">08.09.2025 </w:t>
      </w:r>
      <w:r>
        <w:rPr>
          <w:rStyle w:val="CharStyle20"/>
        </w:rPr>
        <w:t xml:space="preserve">г. Комиссия, выслушав пояснения присутствующих представителей, рассмотрев доводы жалобы, проанализировав имеющиеся в деле документы, проведя в соответствии со ст. </w:t>
      </w:r>
      <w:r>
        <w:rPr>
          <w:rStyle w:val="CharStyle20"/>
          <w:lang w:val="en-US" w:eastAsia="en-US"/>
        </w:rPr>
        <w:t xml:space="preserve">99 </w:t>
      </w:r>
      <w:r>
        <w:rPr>
          <w:rStyle w:val="CharStyle20"/>
        </w:rPr>
        <w:t>Закона №44-ФЗ внеплановую проверку закупки установила следующее: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  <w:lang w:val="en-US" w:eastAsia="en-US"/>
        </w:rPr>
        <w:t xml:space="preserve">20.08.2025 </w:t>
      </w:r>
      <w:r>
        <w:rPr>
          <w:rStyle w:val="CharStyle20"/>
        </w:rPr>
        <w:t xml:space="preserve">г. Заказчиком опубликовано извещение о проведении закупки (далее </w:t>
      </w:r>
      <w:r>
        <w:rPr>
          <w:rStyle w:val="CharStyle20"/>
          <w:lang w:val="en-US" w:eastAsia="en-US"/>
        </w:rPr>
        <w:t xml:space="preserve">– </w:t>
      </w:r>
      <w:r>
        <w:rPr>
          <w:rStyle w:val="CharStyle20"/>
        </w:rPr>
        <w:t>Извещение).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 xml:space="preserve">Начальная (максимальная) цена контракта составила </w:t>
      </w:r>
      <w:r>
        <w:rPr>
          <w:rStyle w:val="CharStyle20"/>
          <w:lang w:val="en-US" w:eastAsia="en-US"/>
        </w:rPr>
        <w:t xml:space="preserve">97 150,00 </w:t>
      </w:r>
      <w:r>
        <w:rPr>
          <w:rStyle w:val="CharStyle20"/>
        </w:rPr>
        <w:t>рублей.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  <w:lang w:val="en-US" w:eastAsia="en-US"/>
        </w:rPr>
        <w:t xml:space="preserve">29.08.2025 </w:t>
      </w:r>
      <w:r>
        <w:rPr>
          <w:rStyle w:val="CharStyle20"/>
        </w:rPr>
        <w:t xml:space="preserve">г. Заказчиком на официальном сайте ЕИС размещен протокол подведения итогов определения поставщика (подрядчика, исполнителя) от </w:t>
      </w:r>
      <w:r>
        <w:rPr>
          <w:rStyle w:val="CharStyle20"/>
          <w:lang w:val="en-US" w:eastAsia="en-US"/>
        </w:rPr>
        <w:t xml:space="preserve">29.08.2025 </w:t>
      </w:r>
      <w:r>
        <w:rPr>
          <w:rStyle w:val="CharStyle20"/>
        </w:rPr>
        <w:t xml:space="preserve">№ИЭА1 (далее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Протокол), на основании которого Комиссией по осуществлению закупок отклонено </w:t>
      </w:r>
      <w:r>
        <w:rPr>
          <w:rStyle w:val="CharStyle20"/>
          <w:lang w:val="en-US" w:eastAsia="en-US"/>
        </w:rPr>
        <w:t xml:space="preserve">7 </w:t>
      </w:r>
      <w:r>
        <w:rPr>
          <w:rStyle w:val="CharStyle20"/>
        </w:rPr>
        <w:t xml:space="preserve">заявок из </w:t>
      </w:r>
      <w:r>
        <w:rPr>
          <w:rStyle w:val="CharStyle20"/>
          <w:lang w:val="en-US" w:eastAsia="en-US"/>
        </w:rPr>
        <w:t xml:space="preserve">10 </w:t>
      </w:r>
      <w:r>
        <w:rPr>
          <w:rStyle w:val="CharStyle20"/>
        </w:rPr>
        <w:t xml:space="preserve">поданных, в том числе заявка Заявителя с идентификационным номером </w:t>
      </w:r>
      <w:r>
        <w:rPr>
          <w:rStyle w:val="CharStyle20"/>
          <w:lang w:val="en-US" w:eastAsia="en-US"/>
        </w:rPr>
        <w:t>2275452.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 xml:space="preserve">Основание для отклонения вышеуказанной заявки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п. </w:t>
      </w:r>
      <w:r>
        <w:rPr>
          <w:rStyle w:val="CharStyle20"/>
          <w:lang w:val="en-US" w:eastAsia="en-US"/>
        </w:rPr>
        <w:t xml:space="preserve">8 </w:t>
      </w:r>
      <w:r>
        <w:rPr>
          <w:rStyle w:val="CharStyle20"/>
        </w:rPr>
        <w:t xml:space="preserve">ч. </w:t>
      </w:r>
      <w:r>
        <w:rPr>
          <w:rStyle w:val="CharStyle20"/>
          <w:lang w:val="en-US" w:eastAsia="en-US"/>
        </w:rPr>
        <w:t xml:space="preserve">12 </w:t>
      </w:r>
      <w:r>
        <w:rPr>
          <w:rStyle w:val="CharStyle20"/>
        </w:rPr>
        <w:t xml:space="preserve">ст. </w:t>
      </w:r>
      <w:r>
        <w:rPr>
          <w:rStyle w:val="CharStyle20"/>
          <w:lang w:val="en-US" w:eastAsia="en-US"/>
        </w:rPr>
        <w:t xml:space="preserve">48 </w:t>
      </w:r>
      <w:r>
        <w:rPr>
          <w:rStyle w:val="CharStyle20"/>
        </w:rPr>
        <w:t>Закона №44-ФЗ «</w:t>
      </w:r>
      <w:r>
        <w:rPr>
          <w:rStyle w:val="CharStyle20"/>
          <w:i/>
          <w:iCs/>
        </w:rPr>
        <w:t xml:space="preserve">Выявление недостоверной информации, содержащейся в заявке на участие в закупке» подлежит отклонению за выявление недостоверной информации, содержащейся в заявке на участие в закупке, а именно длина соединительной трубки </w:t>
      </w:r>
      <w:r>
        <w:rPr>
          <w:rStyle w:val="CharStyle20"/>
          <w:i/>
          <w:iCs/>
          <w:lang w:val="en-US" w:eastAsia="en-US"/>
        </w:rPr>
        <w:t xml:space="preserve">90 </w:t>
      </w:r>
      <w:r>
        <w:rPr>
          <w:rStyle w:val="CharStyle20"/>
          <w:i/>
          <w:iCs/>
        </w:rPr>
        <w:t>см не соответствует регистрационному удостоверению на предлагаемое медицинское изделие, размещенного на сайте Росздравнадзора, в котором указано 90+/-1,5см</w:t>
      </w:r>
      <w:r>
        <w:rPr>
          <w:rStyle w:val="CharStyle20"/>
        </w:rPr>
        <w:t>».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>Заявитель не согласен с основаниями отклонения заявки на участие в закупке, приведенными Комиссией в Протоколе.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 xml:space="preserve">В силу ч. </w:t>
      </w:r>
      <w:r>
        <w:rPr>
          <w:rStyle w:val="CharStyle20"/>
          <w:lang w:val="en-US" w:eastAsia="en-US"/>
        </w:rPr>
        <w:t xml:space="preserve">5 </w:t>
      </w:r>
      <w:r>
        <w:rPr>
          <w:rStyle w:val="CharStyle20"/>
        </w:rPr>
        <w:t xml:space="preserve">ст. </w:t>
      </w:r>
      <w:r>
        <w:rPr>
          <w:rStyle w:val="CharStyle20"/>
          <w:lang w:val="en-US" w:eastAsia="en-US"/>
        </w:rPr>
        <w:t xml:space="preserve">49 </w:t>
      </w:r>
      <w:r>
        <w:rPr>
          <w:rStyle w:val="CharStyle20"/>
        </w:rPr>
        <w:t>Закона №44-ФЗ,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закупки: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124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>члены комиссии по осуществлению закупок: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9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>рассматривают заявки на участие в закупке, информацию и документы, направленные оператором электронной площадки в соответствии с</w:t>
      </w:r>
      <w:r>
        <w:rPr>
          <w:rStyle w:val="CharStyle20"/>
        </w:rPr>
        <w:t xml:space="preserve"> пунктом </w:t>
      </w:r>
      <w:r>
        <w:rPr>
          <w:rStyle w:val="CharStyle20"/>
          <w:lang w:val="en-US" w:eastAsia="en-US"/>
        </w:rPr>
        <w:t xml:space="preserve">4 </w:t>
      </w:r>
      <w:r>
        <w:rPr>
          <w:rStyle w:val="CharStyle20"/>
        </w:rPr>
        <w:t>части</w:t>
      </w:r>
      <w:r>
        <w:rPr>
          <w:rStyle w:val="CharStyle20"/>
        </w:rPr>
        <w:t xml:space="preserve"> </w:t>
      </w:r>
      <w:r>
        <w:rPr>
          <w:rStyle w:val="CharStyle20"/>
          <w:lang w:val="en-US" w:eastAsia="en-US"/>
        </w:rPr>
        <w:t xml:space="preserve">4 </w:t>
      </w:r>
      <w:r>
        <w:rPr>
          <w:rStyle w:val="CharStyle20"/>
        </w:rPr>
        <w:t>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</w:t>
      </w:r>
      <w:r>
        <w:rPr>
          <w:rStyle w:val="CharStyle20"/>
        </w:rPr>
        <w:t xml:space="preserve"> пунктами </w:t>
      </w:r>
      <w:r>
        <w:rPr>
          <w:rStyle w:val="CharStyle20"/>
          <w:lang w:val="en-US" w:eastAsia="en-US"/>
        </w:rPr>
        <w:t xml:space="preserve">1 </w:t>
      </w:r>
      <w:r>
        <w:rPr>
          <w:rStyle w:val="CharStyle20"/>
          <w:lang w:val="en-US" w:eastAsia="en-US"/>
        </w:rPr>
        <w:t>-</w:t>
      </w:r>
      <w:r>
        <w:rPr>
          <w:rStyle w:val="CharStyle20"/>
          <w:lang w:val="en-US" w:eastAsia="en-US"/>
        </w:rPr>
        <w:t xml:space="preserve"> 8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>12</w:t>
      </w:r>
      <w:r>
        <w:rPr>
          <w:rStyle w:val="CharStyle20"/>
          <w:lang w:val="en-US" w:eastAsia="en-US"/>
        </w:rPr>
        <w:t xml:space="preserve">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>48</w:t>
      </w:r>
      <w:r>
        <w:rPr>
          <w:rStyle w:val="CharStyle20"/>
          <w:lang w:val="en-US" w:eastAsia="en-US"/>
        </w:rPr>
        <w:t xml:space="preserve"> </w:t>
      </w:r>
      <w:r>
        <w:rPr>
          <w:rStyle w:val="CharStyle20"/>
        </w:rPr>
        <w:t>настоящего Федерального закона;</w:t>
      </w:r>
    </w:p>
    <w:p>
      <w:pPr>
        <w:pStyle w:val="Style19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100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rStyle w:val="CharStyle20"/>
        </w:rPr>
        <w:t>на основании информации, содержащейся в протоколе подачи ценовых предложений, а также результатов рассмотрения, предусмотренного</w:t>
      </w:r>
      <w:r>
        <w:rPr>
          <w:rStyle w:val="CharStyle20"/>
        </w:rPr>
        <w:t xml:space="preserve"> подпунктом "а"</w:t>
      </w:r>
      <w:r>
        <w:rPr>
          <w:rStyle w:val="CharStyle20"/>
        </w:rPr>
        <w:t xml:space="preserve"> настоящего пункта, присваивают каждой заявке на участие в закупке, признанной соответствующей извещению об осуществлении закупки, порядковый номер в порядке возрастания минимального ценового предложения участника закупки, подавшего такую заявку (за исключением случая, предусмотренного</w:t>
      </w:r>
      <w:r>
        <w:rPr>
          <w:rStyle w:val="CharStyle20"/>
        </w:rPr>
        <w:t xml:space="preserve"> пунктом </w:t>
      </w:r>
      <w:r>
        <w:rPr>
          <w:rStyle w:val="CharStyle20"/>
          <w:lang w:val="en-US" w:eastAsia="en-US"/>
        </w:rPr>
        <w:t>9</w:t>
      </w:r>
      <w:r>
        <w:rPr>
          <w:rStyle w:val="CharStyle20"/>
          <w:lang w:val="en-US" w:eastAsia="en-US"/>
        </w:rPr>
        <w:t xml:space="preserve">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3 </w:t>
      </w:r>
      <w:r>
        <w:rPr>
          <w:rStyle w:val="CharStyle20"/>
        </w:rPr>
        <w:t>настоящей статьи, при котором порядковые номера заявкам участников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>закупки, подавших ценовые предложения после подачи ценового предложения, предусмотренного</w:t>
      </w:r>
      <w:r>
        <w:rPr>
          <w:rStyle w:val="CharStyle20"/>
        </w:rPr>
        <w:t xml:space="preserve"> абзацем первым пункта </w:t>
      </w:r>
      <w:r>
        <w:rPr>
          <w:rStyle w:val="CharStyle20"/>
          <w:lang w:val="en-US" w:eastAsia="en-US"/>
        </w:rPr>
        <w:t xml:space="preserve">9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 xml:space="preserve">3 </w:t>
      </w:r>
      <w:r>
        <w:rPr>
          <w:rStyle w:val="CharStyle20"/>
        </w:rPr>
        <w:t>настоящей статьи, присваиваются в порядке убывания размера ценового предложения участника закупки), и с учетом положений нормативных правовых актов, принятых в соответствии со</w:t>
      </w:r>
      <w:r>
        <w:rPr>
          <w:rStyle w:val="CharStyle20"/>
        </w:rPr>
        <w:t xml:space="preserve"> статьей </w:t>
      </w:r>
      <w:r>
        <w:rPr>
          <w:rStyle w:val="CharStyle20"/>
          <w:lang w:val="en-US" w:eastAsia="en-US"/>
        </w:rPr>
        <w:t xml:space="preserve">14 </w:t>
      </w:r>
      <w:r>
        <w:rPr>
          <w:rStyle w:val="CharStyle20"/>
        </w:rPr>
        <w:t>настоящего Федерального закона. Заявке на участие в закупке победителя определения поставщика (подрядчика, исполнителя) присваивается первый номер;</w:t>
      </w:r>
    </w:p>
    <w:p>
      <w:pPr>
        <w:pStyle w:val="Style1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99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заказчик формирует с использованием электронной площадки протокол подведения итогов определения поставщика (подрядчика, исполнителя), который должен содержать информацию, предусмотренную </w:t>
      </w:r>
      <w:r>
        <w:rPr>
          <w:rStyle w:val="CharStyle20"/>
        </w:rPr>
        <w:t xml:space="preserve">пунктами </w:t>
      </w:r>
      <w:r>
        <w:rPr>
          <w:rStyle w:val="CharStyle20"/>
          <w:lang w:val="en-US" w:eastAsia="en-US"/>
        </w:rPr>
        <w:t>1</w:t>
      </w:r>
      <w:r>
        <w:rPr>
          <w:rStyle w:val="CharStyle20"/>
          <w:lang w:val="en-US" w:eastAsia="en-US"/>
        </w:rPr>
        <w:t xml:space="preserve">, </w:t>
      </w:r>
      <w:r>
        <w:rPr>
          <w:rStyle w:val="CharStyle20"/>
          <w:lang w:val="en-US" w:eastAsia="en-US"/>
        </w:rPr>
        <w:t>2</w:t>
      </w:r>
      <w:r>
        <w:rPr>
          <w:rStyle w:val="CharStyle20"/>
          <w:lang w:val="en-US" w:eastAsia="en-US"/>
        </w:rPr>
        <w:t xml:space="preserve">, </w:t>
      </w:r>
      <w:r>
        <w:rPr>
          <w:rStyle w:val="CharStyle20"/>
          <w:lang w:val="en-US" w:eastAsia="en-US"/>
        </w:rPr>
        <w:t xml:space="preserve">4 </w:t>
      </w:r>
      <w:r>
        <w:rPr>
          <w:rStyle w:val="CharStyle20"/>
          <w:lang w:val="en-US" w:eastAsia="en-US"/>
        </w:rPr>
        <w:t>-</w:t>
      </w:r>
      <w:r>
        <w:rPr>
          <w:rStyle w:val="CharStyle20"/>
          <w:lang w:val="en-US" w:eastAsia="en-US"/>
        </w:rPr>
        <w:t xml:space="preserve"> 7 </w:t>
      </w:r>
      <w:r>
        <w:rPr>
          <w:rStyle w:val="CharStyle20"/>
        </w:rPr>
        <w:t xml:space="preserve">части </w:t>
      </w:r>
      <w:r>
        <w:rPr>
          <w:rStyle w:val="CharStyle20"/>
          <w:lang w:val="en-US" w:eastAsia="en-US"/>
        </w:rPr>
        <w:t>17</w:t>
      </w:r>
      <w:r>
        <w:rPr>
          <w:rStyle w:val="CharStyle20"/>
          <w:lang w:val="en-US" w:eastAsia="en-US"/>
        </w:rPr>
        <w:t xml:space="preserve"> </w:t>
      </w:r>
      <w:r>
        <w:rPr>
          <w:rStyle w:val="CharStyle20"/>
        </w:rPr>
        <w:t xml:space="preserve">статьи </w:t>
      </w:r>
      <w:r>
        <w:rPr>
          <w:rStyle w:val="CharStyle20"/>
          <w:lang w:val="en-US" w:eastAsia="en-US"/>
        </w:rPr>
        <w:t>48</w:t>
      </w:r>
      <w:r>
        <w:rPr>
          <w:rStyle w:val="CharStyle20"/>
          <w:lang w:val="en-US" w:eastAsia="en-US"/>
        </w:rPr>
        <w:t xml:space="preserve"> </w:t>
      </w:r>
      <w:r>
        <w:rPr>
          <w:rStyle w:val="CharStyle20"/>
        </w:rPr>
        <w:t>настоящего Федерального закона.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лица, имеющего право действовать от имени заказчика, и направляет оператору электронной площадки.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Комиссией установлено следующее.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В соответствии с приложением </w:t>
      </w:r>
      <w:r>
        <w:rPr>
          <w:rStyle w:val="CharStyle20"/>
          <w:lang w:val="en-US" w:eastAsia="en-US"/>
        </w:rPr>
        <w:t xml:space="preserve">№1 </w:t>
      </w:r>
      <w:r>
        <w:rPr>
          <w:rStyle w:val="CharStyle20"/>
        </w:rPr>
        <w:t xml:space="preserve">к Извещению «Наименование и описание объекта закупки» в характеристиках наименования товара «Мочеприемник прикроватный» установлен параметр «длина соединительной трубки </w:t>
      </w:r>
      <w:r>
        <w:rPr>
          <w:rStyle w:val="CharStyle20"/>
          <w:lang w:val="en-US" w:eastAsia="en-US"/>
        </w:rPr>
        <w:t xml:space="preserve">≥ 90 </w:t>
      </w:r>
      <w:r>
        <w:rPr>
          <w:rStyle w:val="CharStyle20"/>
        </w:rPr>
        <w:t>см». При этом участник закупки указывает в заявке конкретное значение характеристики.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Заявителем в составе заявки предложен к поставке товар «Мочеприемник прикроватный, товарный знак </w:t>
      </w:r>
      <w:r>
        <w:rPr>
          <w:rStyle w:val="CharStyle20"/>
          <w:lang w:val="en-US" w:eastAsia="en-US"/>
        </w:rPr>
        <w:t xml:space="preserve">FREBOR» </w:t>
      </w:r>
      <w:r>
        <w:rPr>
          <w:rStyle w:val="CharStyle20"/>
        </w:rPr>
        <w:t xml:space="preserve">с характеристикой «Длина входной трубки, сантиметр </w:t>
      </w:r>
      <w:r>
        <w:rPr>
          <w:rStyle w:val="CharStyle20"/>
          <w:lang w:val="en-US" w:eastAsia="en-US"/>
        </w:rPr>
        <w:t>— 90».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Согласно регистрационному удостоверению на медицинское изделие «Мочеприемник прикроватный, товарный знак </w:t>
      </w:r>
      <w:r>
        <w:rPr>
          <w:rStyle w:val="CharStyle20"/>
          <w:lang w:val="en-US" w:eastAsia="en-US"/>
        </w:rPr>
        <w:t xml:space="preserve">FREBOR» </w:t>
      </w:r>
      <w:r>
        <w:rPr>
          <w:rStyle w:val="CharStyle20"/>
        </w:rPr>
        <w:t xml:space="preserve">№ФСЗ </w:t>
      </w:r>
      <w:r>
        <w:rPr>
          <w:rStyle w:val="CharStyle20"/>
          <w:lang w:val="en-US" w:eastAsia="en-US"/>
        </w:rPr>
        <w:t xml:space="preserve">2011/10705 </w:t>
      </w:r>
      <w:r>
        <w:rPr>
          <w:rStyle w:val="CharStyle20"/>
        </w:rPr>
        <w:t xml:space="preserve">от </w:t>
      </w:r>
      <w:r>
        <w:rPr>
          <w:rStyle w:val="CharStyle20"/>
          <w:lang w:val="en-US" w:eastAsia="en-US"/>
        </w:rPr>
        <w:t xml:space="preserve">30.01.2017 </w:t>
      </w:r>
      <w:r>
        <w:rPr>
          <w:rStyle w:val="CharStyle20"/>
        </w:rPr>
        <w:t>г. длина соединительной трубки 90+/-1,5см.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Таким образом, длина соединительной трубки от </w:t>
      </w:r>
      <w:r>
        <w:rPr>
          <w:rStyle w:val="CharStyle20"/>
          <w:lang w:val="en-US" w:eastAsia="en-US"/>
        </w:rPr>
        <w:t xml:space="preserve">88,5 </w:t>
      </w:r>
      <w:r>
        <w:rPr>
          <w:rStyle w:val="CharStyle20"/>
        </w:rPr>
        <w:t xml:space="preserve">до </w:t>
      </w:r>
      <w:r>
        <w:rPr>
          <w:rStyle w:val="CharStyle20"/>
          <w:lang w:val="en-US" w:eastAsia="en-US"/>
        </w:rPr>
        <w:t xml:space="preserve">91,5 </w:t>
      </w:r>
      <w:r>
        <w:rPr>
          <w:rStyle w:val="CharStyle20"/>
        </w:rPr>
        <w:t>см.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Заявитель, указывая в заявке значение </w:t>
      </w:r>
      <w:r>
        <w:rPr>
          <w:rStyle w:val="CharStyle20"/>
          <w:lang w:val="en-US" w:eastAsia="en-US"/>
        </w:rPr>
        <w:t xml:space="preserve">90 </w:t>
      </w:r>
      <w:r>
        <w:rPr>
          <w:rStyle w:val="CharStyle20"/>
        </w:rPr>
        <w:t xml:space="preserve">см не может быть уверенным в том, что поставит Заказчику трубку именно такой длины, поскольку согласно сертификату о происхождении товара (форма СТ-1) </w:t>
      </w:r>
      <w:r>
        <w:rPr>
          <w:rStyle w:val="CharStyle20"/>
          <w:lang w:val="en-US" w:eastAsia="en-US"/>
        </w:rPr>
        <w:t xml:space="preserve">№BYRU2107108302 </w:t>
      </w:r>
      <w:r>
        <w:rPr>
          <w:rStyle w:val="CharStyle20"/>
        </w:rPr>
        <w:t xml:space="preserve">от 31.03.2025г., приложенному к заявке Заявителя, предлагаемый товар, завезенный на территорию России, имеет длину соединительной трубки </w:t>
      </w:r>
      <w:r>
        <w:rPr>
          <w:rStyle w:val="CharStyle20"/>
          <w:lang w:val="en-US" w:eastAsia="en-US"/>
        </w:rPr>
        <w:t xml:space="preserve">90+/-1 </w:t>
      </w:r>
      <w:r>
        <w:rPr>
          <w:rStyle w:val="CharStyle20"/>
        </w:rPr>
        <w:t>см, то есть интегрированное значение.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Поскольку значения </w:t>
      </w:r>
      <w:r>
        <w:rPr>
          <w:rStyle w:val="CharStyle20"/>
          <w:lang w:val="en-US" w:eastAsia="en-US"/>
        </w:rPr>
        <w:t xml:space="preserve">90 </w:t>
      </w:r>
      <w:r>
        <w:rPr>
          <w:rStyle w:val="CharStyle20"/>
        </w:rPr>
        <w:t xml:space="preserve">см и </w:t>
      </w:r>
      <w:r>
        <w:rPr>
          <w:rStyle w:val="CharStyle20"/>
          <w:lang w:val="en-US" w:eastAsia="en-US"/>
        </w:rPr>
        <w:t xml:space="preserve">90+/-1 </w:t>
      </w:r>
      <w:r>
        <w:rPr>
          <w:rStyle w:val="CharStyle20"/>
        </w:rPr>
        <w:t xml:space="preserve">см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 xml:space="preserve">не одно и то же, указание Заявителем в составе заявки значения характеристики </w:t>
      </w:r>
      <w:r>
        <w:rPr>
          <w:rStyle w:val="CharStyle20"/>
          <w:lang w:val="en-US" w:eastAsia="en-US"/>
        </w:rPr>
        <w:t xml:space="preserve">90 </w:t>
      </w:r>
      <w:r>
        <w:rPr>
          <w:rStyle w:val="CharStyle20"/>
        </w:rPr>
        <w:t>см не соответствует регистрационному удостоверению на предлагаемый товар, а также сертификату о происхождении товара.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При этом Заявитель пояснил, что, поскольку указанное им значение входит в диапазон </w:t>
      </w:r>
      <w:r>
        <w:rPr>
          <w:rStyle w:val="CharStyle20"/>
          <w:lang w:val="en-US" w:eastAsia="en-US"/>
        </w:rPr>
        <w:t xml:space="preserve">90+/-1 </w:t>
      </w:r>
      <w:r>
        <w:rPr>
          <w:rStyle w:val="CharStyle20"/>
        </w:rPr>
        <w:t xml:space="preserve">см, указание в заявке значения </w:t>
      </w:r>
      <w:r>
        <w:rPr>
          <w:rStyle w:val="CharStyle20"/>
          <w:lang w:val="en-US" w:eastAsia="en-US"/>
        </w:rPr>
        <w:t xml:space="preserve">90 </w:t>
      </w:r>
      <w:r>
        <w:rPr>
          <w:rStyle w:val="CharStyle20"/>
        </w:rPr>
        <w:t>см не является недостоверными сведениями.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 xml:space="preserve">Комиссия не согласна с мнением Заявителя, так как в случае признания Заказчиком такой заявки соответствующей, последний рискует в ходе приемки получить товар со значением характеристики «длина соединительной трубки» менее или более </w:t>
      </w:r>
      <w:r>
        <w:rPr>
          <w:rStyle w:val="CharStyle20"/>
          <w:lang w:val="en-US" w:eastAsia="en-US"/>
        </w:rPr>
        <w:t xml:space="preserve">90 </w:t>
      </w:r>
      <w:r>
        <w:rPr>
          <w:rStyle w:val="CharStyle20"/>
        </w:rPr>
        <w:t>см (поскольку сертификат о происхождении товара уже задекларировал наличие погрешности в длине трубки), что не будет соответствовать его</w:t>
      </w:r>
      <w:r>
        <w:br w:type="page"/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>потребности, а Заявитель, в свою очередь, рискует попасть в реестр недобросовестных поставщиков в случае поставки товара, несоответствующего условиям заключенного контракта.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20"/>
        </w:rPr>
        <w:t>Исходя из вышеизложенного, в данном случае Комиссия не находит оснований для удовлетворения доводов жалобы Заявителя. Действия Заказчика, учитывая сложившуюся ситуацию, в полной мере соответствуют требованиям Закона №44-ФЗ.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20"/>
        </w:rPr>
        <w:t xml:space="preserve">Комиссия, руководствуясь ст. </w:t>
      </w:r>
      <w:r>
        <w:rPr>
          <w:rStyle w:val="CharStyle20"/>
          <w:lang w:val="en-US" w:eastAsia="en-US"/>
        </w:rPr>
        <w:t xml:space="preserve">99, </w:t>
      </w:r>
      <w:r>
        <w:rPr>
          <w:rStyle w:val="CharStyle20"/>
        </w:rPr>
        <w:t xml:space="preserve">ст. </w:t>
      </w:r>
      <w:r>
        <w:rPr>
          <w:rStyle w:val="CharStyle20"/>
          <w:lang w:val="en-US" w:eastAsia="en-US"/>
        </w:rPr>
        <w:t xml:space="preserve">106 </w:t>
      </w:r>
      <w:r>
        <w:rPr>
          <w:rStyle w:val="CharStyle20"/>
        </w:rPr>
        <w:t xml:space="preserve">Закона </w:t>
      </w:r>
      <w:r>
        <w:rPr>
          <w:rStyle w:val="CharStyle20"/>
          <w:lang w:val="en-US" w:eastAsia="en-US"/>
        </w:rPr>
        <w:t xml:space="preserve">№ </w:t>
      </w:r>
      <w:r>
        <w:rPr>
          <w:rStyle w:val="CharStyle20"/>
        </w:rPr>
        <w:t>44-ФЗ,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rStyle w:val="CharStyle20"/>
          <w:b/>
          <w:bCs/>
        </w:rPr>
        <w:t xml:space="preserve">Р Е Ш И Л А </w:t>
      </w:r>
      <w:r>
        <w:rPr>
          <w:rStyle w:val="CharStyle20"/>
          <w:b/>
          <w:bCs/>
          <w:lang w:val="en-US" w:eastAsia="en-US"/>
        </w:rPr>
        <w:t>: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20"/>
        <w:jc w:val="both"/>
      </w:pPr>
      <w:r>
        <w:rPr>
          <w:rStyle w:val="CharStyle20"/>
        </w:rPr>
        <w:t xml:space="preserve">Признать жалобу ООО «АСМ-МЕД» на действия ГБУЗ СК «Городская клиническая больница </w:t>
      </w:r>
      <w:r>
        <w:rPr>
          <w:rStyle w:val="CharStyle20"/>
          <w:lang w:val="en-US" w:eastAsia="en-US"/>
        </w:rPr>
        <w:t xml:space="preserve">№3» </w:t>
      </w:r>
      <w:r>
        <w:rPr>
          <w:rStyle w:val="CharStyle20"/>
        </w:rPr>
        <w:t xml:space="preserve">города Ставрополя по факту осуществления закупки путем проведения аукциона в электронной форме </w:t>
      </w:r>
      <w:r>
        <w:rPr>
          <w:rStyle w:val="CharStyle20"/>
          <w:lang w:val="en-US" w:eastAsia="en-US"/>
        </w:rPr>
        <w:t xml:space="preserve">№0321300022325000233 </w:t>
      </w:r>
      <w:r>
        <w:rPr>
          <w:rStyle w:val="CharStyle20"/>
        </w:rPr>
        <w:t xml:space="preserve">«поставка расходного материала» </w:t>
      </w:r>
      <w:r>
        <w:rPr>
          <w:rStyle w:val="CharStyle20"/>
          <w:lang w:val="en-US" w:eastAsia="en-US"/>
        </w:rPr>
        <w:t xml:space="preserve">- </w:t>
      </w:r>
      <w:r>
        <w:rPr>
          <w:rStyle w:val="CharStyle20"/>
        </w:rPr>
        <w:t>необоснованной.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rStyle w:val="CharStyle20"/>
        </w:rPr>
        <w:t>Настоящее решение может быть обжаловано в судебном порядке в течение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>трех месяцев со дня его принятия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60" w:right="530" w:bottom="1202" w:left="1089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76200" distB="341630" distL="0" distR="0" simplePos="0" relativeHeight="125829378" behindDoc="0" locked="0" layoutInCell="1" allowOverlap="1">
                <wp:simplePos x="0" y="0"/>
                <wp:positionH relativeFrom="page">
                  <wp:posOffset>737235</wp:posOffset>
                </wp:positionH>
                <wp:positionV relativeFrom="paragraph">
                  <wp:posOffset>76200</wp:posOffset>
                </wp:positionV>
                <wp:extent cx="1825625" cy="252730"/>
                <wp:wrapTopAndBottom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25625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Председатель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1" type="#_x0000_t202" style="position:absolute;margin-left:58.050000000000004pt;margin-top:6.pt;width:143.75pt;height:19.900000000000002pt;z-index:-125829375;mso-wrap-distance-left:0;mso-wrap-distance-top: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Председатель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46050" distB="0" distL="0" distR="1786255" simplePos="0" relativeHeight="125829380" behindDoc="0" locked="0" layoutInCell="1" allowOverlap="1">
            <wp:simplePos x="0" y="0"/>
            <wp:positionH relativeFrom="page">
              <wp:posOffset>3157220</wp:posOffset>
            </wp:positionH>
            <wp:positionV relativeFrom="paragraph">
              <wp:posOffset>146050</wp:posOffset>
            </wp:positionV>
            <wp:extent cx="359410" cy="524510"/>
            <wp:wrapTopAndBottom/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359410" cy="52451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3617595</wp:posOffset>
                </wp:positionH>
                <wp:positionV relativeFrom="paragraph">
                  <wp:posOffset>554355</wp:posOffset>
                </wp:positionV>
                <wp:extent cx="1283335" cy="10033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284.85000000000002pt;margin-top:43.649999999999999pt;width:101.05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3577590</wp:posOffset>
                </wp:positionH>
                <wp:positionV relativeFrom="paragraph">
                  <wp:posOffset>237490</wp:posOffset>
                </wp:positionV>
                <wp:extent cx="1722120" cy="25908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81.69999999999999pt;margin-top:18.699999999999999pt;width:135.59999999999999pt;height:20.400000000000002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76200" distB="341630" distL="0" distR="0" simplePos="0" relativeHeight="125829381" behindDoc="0" locked="0" layoutInCell="1" allowOverlap="1">
                <wp:simplePos x="0" y="0"/>
                <wp:positionH relativeFrom="page">
                  <wp:posOffset>6153785</wp:posOffset>
                </wp:positionH>
                <wp:positionV relativeFrom="paragraph">
                  <wp:posOffset>76200</wp:posOffset>
                </wp:positionV>
                <wp:extent cx="1029970" cy="252730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2997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Style w:val="CharStyle20"/>
                              </w:rPr>
                              <w:t>Е.А. Соколов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484.55000000000001pt;margin-top:6.pt;width:81.100000000000009pt;height:19.900000000000002pt;z-index:-125829372;mso-wrap-distance-left:0;mso-wrap-distance-top:6.pt;mso-wrap-distance-right:0;mso-wrap-distance-bottom:26.900000000000002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rStyle w:val="CharStyle20"/>
                        </w:rPr>
                        <w:t>Е.А. Соколов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Соколов Евгений Анатольевич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00C50B4B6ACAE1F0A41E933A5A08BDB73</w:t>
      </w:r>
      <w:r>
        <w:rPr>
          <w:rStyle w:val="CharStyle30"/>
          <w:lang w:val="en-US" w:eastAsia="en-US"/>
        </w:rPr>
        <w:t>(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Style w:val="CharStyle30"/>
        </w:rPr>
        <w:t xml:space="preserve">Действителен с 11.06.2025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04.09.2026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105" w:right="541" w:bottom="1198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88900" distB="340995" distL="0" distR="0" simplePos="0" relativeHeight="125829383" behindDoc="0" locked="0" layoutInCell="1" allowOverlap="1">
                <wp:simplePos x="0" y="0"/>
                <wp:positionH relativeFrom="page">
                  <wp:posOffset>734060</wp:posOffset>
                </wp:positionH>
                <wp:positionV relativeFrom="paragraph">
                  <wp:posOffset>88900</wp:posOffset>
                </wp:positionV>
                <wp:extent cx="1325880" cy="25019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258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Члены комиссии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57.800000000000004pt;margin-top:7.pt;width:104.40000000000001pt;height:19.699999999999999pt;z-index:-125829370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Члены комиссии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730" distB="0" distL="0" distR="1786255" simplePos="0" relativeHeight="125829385" behindDoc="0" locked="0" layoutInCell="1" allowOverlap="1">
            <wp:simplePos x="0" y="0"/>
            <wp:positionH relativeFrom="page">
              <wp:posOffset>3123565</wp:posOffset>
            </wp:positionH>
            <wp:positionV relativeFrom="paragraph">
              <wp:posOffset>125730</wp:posOffset>
            </wp:positionV>
            <wp:extent cx="389890" cy="554990"/>
            <wp:wrapTopAndBottom/>
            <wp:docPr id="17" name="Shape 1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box 1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389890" cy="55499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3620135</wp:posOffset>
                </wp:positionH>
                <wp:positionV relativeFrom="paragraph">
                  <wp:posOffset>564515</wp:posOffset>
                </wp:positionV>
                <wp:extent cx="1280160" cy="100330"/>
                <wp:wrapNone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0160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285.05000000000001pt;margin-top:44.450000000000003pt;width:100.8pt;height:7.9000000000000004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8" behindDoc="0" locked="0" layoutInCell="1" allowOverlap="1">
                <wp:simplePos x="0" y="0"/>
                <wp:positionH relativeFrom="page">
                  <wp:posOffset>3574415</wp:posOffset>
                </wp:positionH>
                <wp:positionV relativeFrom="paragraph">
                  <wp:posOffset>247650</wp:posOffset>
                </wp:positionV>
                <wp:extent cx="1725295" cy="259080"/>
                <wp:wrapNone/>
                <wp:docPr id="21" name="Shape 2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7" type="#_x0000_t202" style="position:absolute;margin-left:281.44999999999999pt;margin-top:19.5pt;width:135.84999999999999pt;height:20.400000000000002pt;z-index:25165773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88900" distB="340995" distL="0" distR="0" simplePos="0" relativeHeight="125829386" behindDoc="0" locked="0" layoutInCell="1" allowOverlap="1">
                <wp:simplePos x="0" y="0"/>
                <wp:positionH relativeFrom="page">
                  <wp:posOffset>5976620</wp:posOffset>
                </wp:positionH>
                <wp:positionV relativeFrom="paragraph">
                  <wp:posOffset>88900</wp:posOffset>
                </wp:positionV>
                <wp:extent cx="1210310" cy="250190"/>
                <wp:wrapTopAndBottom/>
                <wp:docPr id="23" name="Shape 2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103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0"/>
                              </w:rPr>
                              <w:t>Ю.В. Булгакова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9" type="#_x0000_t202" style="position:absolute;margin-left:470.60000000000002pt;margin-top:7.pt;width:95.299999999999997pt;height:19.699999999999999pt;z-index:-125829367;mso-wrap-distance-left:0;mso-wrap-distance-top:7.pt;mso-wrap-distance-right:0;mso-wrap-distance-bottom:26.850000000000001pt;mso-position-horizontal-relative:page" filled="f" stroked="f">
                <v:textbox inset="0,0,0,0">
                  <w:txbxContent>
                    <w:p>
                      <w:pPr>
                        <w:pStyle w:val="Style1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0"/>
                        </w:rPr>
                        <w:t>Ю.В. Булгакова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Булгакова Юлия Витальевна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0AADD753ABFFC0755A808470F03675B6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right="0" w:firstLine="0"/>
        <w:jc w:val="left"/>
      </w:pPr>
      <w:r>
        <w:rPr>
          <w:rStyle w:val="CharStyle30"/>
        </w:rPr>
        <w:t xml:space="preserve">Действителен с 04.02.2025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30.04.2026</w:t>
      </w:r>
    </w:p>
    <w:p>
      <w:pPr>
        <w:pStyle w:val="Style19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0"/>
        <w:jc w:val="right"/>
      </w:pPr>
      <w:r>
        <w:drawing>
          <wp:anchor distT="0" distB="0" distL="114300" distR="1900555" simplePos="0" relativeHeight="125829388" behindDoc="0" locked="0" layoutInCell="1" allowOverlap="1">
            <wp:simplePos x="0" y="0"/>
            <wp:positionH relativeFrom="page">
              <wp:posOffset>3157220</wp:posOffset>
            </wp:positionH>
            <wp:positionV relativeFrom="paragraph">
              <wp:posOffset>63500</wp:posOffset>
            </wp:positionV>
            <wp:extent cx="359410" cy="518160"/>
            <wp:wrapSquare wrapText="right"/>
            <wp:docPr id="25" name="Shape 2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box 26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359410" cy="51816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90" behindDoc="0" locked="0" layoutInCell="1" allowOverlap="1">
                <wp:simplePos x="0" y="0"/>
                <wp:positionH relativeFrom="page">
                  <wp:posOffset>3617595</wp:posOffset>
                </wp:positionH>
                <wp:positionV relativeFrom="paragraph">
                  <wp:posOffset>466090</wp:posOffset>
                </wp:positionV>
                <wp:extent cx="1283335" cy="100330"/>
                <wp:wrapNone/>
                <wp:docPr id="27" name="Shape 2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28333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pBdr>
                                <w:top w:val="single" w:sz="0" w:space="0" w:color="000000"/>
                                <w:left w:val="single" w:sz="0" w:space="0" w:color="000000"/>
                                <w:bottom w:val="single" w:sz="0" w:space="0" w:color="000000"/>
                                <w:right w:val="single" w:sz="0" w:space="0" w:color="000000"/>
                              </w:pBdr>
                              <w:shd w:val="clear" w:color="auto" w:fill="000000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2"/>
                                <w:szCs w:val="12"/>
                              </w:rPr>
                            </w:pPr>
                            <w:r>
                              <w:rPr>
                                <w:rStyle w:val="CharStyle23"/>
                                <w:color w:val="FFFFFF"/>
                                <w:sz w:val="12"/>
                                <w:szCs w:val="12"/>
                              </w:rPr>
                              <w:t>СВЕДЕНИЯ О СЕРТИФИКАТЕ ЭП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3" type="#_x0000_t202" style="position:absolute;margin-left:284.85000000000002pt;margin-top:36.700000000000003pt;width:101.05pt;height:7.9000000000000004pt;z-index:251657737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pBdr>
                          <w:top w:val="single" w:sz="0" w:space="0" w:color="000000"/>
                          <w:left w:val="single" w:sz="0" w:space="0" w:color="000000"/>
                          <w:bottom w:val="single" w:sz="0" w:space="0" w:color="000000"/>
                          <w:right w:val="single" w:sz="0" w:space="0" w:color="000000"/>
                        </w:pBdr>
                        <w:shd w:val="clear" w:color="auto" w:fill="000000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2"/>
                          <w:szCs w:val="12"/>
                        </w:rPr>
                      </w:pPr>
                      <w:r>
                        <w:rPr>
                          <w:rStyle w:val="CharStyle23"/>
                          <w:color w:val="FFFFFF"/>
                          <w:sz w:val="12"/>
                          <w:szCs w:val="12"/>
                        </w:rPr>
                        <w:t>СВЕДЕНИЯ О СЕРТИФИКАТЕ ЭП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92" behindDoc="0" locked="0" layoutInCell="1" allowOverlap="1">
                <wp:simplePos x="0" y="0"/>
                <wp:positionH relativeFrom="page">
                  <wp:posOffset>3577590</wp:posOffset>
                </wp:positionH>
                <wp:positionV relativeFrom="paragraph">
                  <wp:posOffset>148590</wp:posOffset>
                </wp:positionV>
                <wp:extent cx="1722120" cy="259080"/>
                <wp:wrapNone/>
                <wp:docPr id="29" name="Shape 2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2120" cy="25908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23"/>
                              </w:rPr>
                              <w:t>Подлинник электронного документа, подписанного ЭП, 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55" type="#_x0000_t202" style="position:absolute;margin-left:281.69999999999999pt;margin-top:11.700000000000001pt;width:135.59999999999999pt;height:20.400000000000002pt;z-index:25165773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23"/>
                        </w:rPr>
                        <w:t>Подлинник электронного документа, подписанного ЭП, хранится в системе электронного документооборота ФАС России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Style w:val="CharStyle20"/>
        </w:rPr>
        <w:t>П.В. Попова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Кому выдан: </w:t>
      </w:r>
      <w:r>
        <w:rPr>
          <w:rStyle w:val="CharStyle30"/>
          <w:color w:val="000000"/>
        </w:rPr>
        <w:t>Попова Полина Вячеславовна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rStyle w:val="CharStyle30"/>
        </w:rPr>
        <w:t xml:space="preserve">Сертификат </w:t>
      </w:r>
      <w:r>
        <w:rPr>
          <w:rStyle w:val="CharStyle30"/>
          <w:color w:val="292929"/>
        </w:rPr>
        <w:t xml:space="preserve">№ </w:t>
      </w:r>
      <w:r>
        <w:rPr>
          <w:rStyle w:val="CharStyle30"/>
          <w:lang w:val="en-US" w:eastAsia="en-US"/>
        </w:rPr>
        <w:t>5836309AD572A81D90F8607A0217131A</w:t>
      </w:r>
    </w:p>
    <w:p>
      <w:pPr>
        <w:pStyle w:val="Style29"/>
        <w:keepNext w:val="0"/>
        <w:keepLines w:val="0"/>
        <w:widowControl w:val="0"/>
        <w:shd w:val="clear" w:color="auto" w:fill="auto"/>
        <w:bidi w:val="0"/>
        <w:spacing w:before="0" w:after="2700" w:line="240" w:lineRule="auto"/>
        <w:ind w:right="0" w:firstLine="0"/>
        <w:jc w:val="left"/>
      </w:pPr>
      <w:r>
        <w:rPr>
          <w:rStyle w:val="CharStyle30"/>
        </w:rPr>
        <w:t xml:space="preserve">Действителен с 03.06.2025 </w:t>
      </w:r>
      <w:r>
        <w:rPr>
          <w:rStyle w:val="CharStyle30"/>
          <w:color w:val="5E5E5E"/>
        </w:rPr>
        <w:t xml:space="preserve">по </w:t>
      </w:r>
      <w:r>
        <w:rPr>
          <w:rStyle w:val="CharStyle30"/>
        </w:rPr>
        <w:t>27.08.2026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7"/>
        </w:rPr>
        <w:t>Исп.Попова П.В.</w:t>
      </w:r>
    </w:p>
    <w:p>
      <w:pPr>
        <w:pStyle w:val="Style16"/>
        <w:keepNext w:val="0"/>
        <w:keepLines w:val="0"/>
        <w:widowControl w:val="0"/>
        <w:shd w:val="clear" w:color="auto" w:fill="auto"/>
        <w:bidi w:val="0"/>
        <w:spacing w:before="0" w:after="140" w:line="240" w:lineRule="auto"/>
        <w:ind w:left="0" w:right="0" w:firstLine="0"/>
        <w:jc w:val="left"/>
      </w:pPr>
      <w:r>
        <w:rPr>
          <w:rStyle w:val="CharStyle17"/>
        </w:rPr>
        <w:t>тел.(499) 755-23-23, вн. 026-131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105" w:right="541" w:bottom="1105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725170</wp:posOffset>
              </wp:positionH>
              <wp:positionV relativeFrom="page">
                <wp:posOffset>10010775</wp:posOffset>
              </wp:positionV>
              <wp:extent cx="6483350" cy="12827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8335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tabs>
                              <w:tab w:pos="10210" w:val="right"/>
                            </w:tabs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2025-12077</w:t>
                            <w:tab/>
                          </w:r>
                          <w:fldSimple w:instr=" PAGE \* MERGEFORMAT ">
                            <w:r>
                              <w:rPr>
                                <w:rStyle w:val="CharStyle5"/>
                                <w:sz w:val="24"/>
                                <w:szCs w:val="24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57.100000000000001pt;margin-top:788.25pt;width:510.5pt;height:10.1pt;z-index:-188744063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tabs>
                        <w:tab w:pos="10210" w:val="right"/>
                      </w:tabs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2025-12077</w:t>
                      <w:tab/>
                    </w:r>
                    <w:fldSimple w:instr=" PAGE \* MERGEFORMAT ">
                      <w:r>
                        <w:rPr>
                          <w:rStyle w:val="CharStyle5"/>
                          <w:sz w:val="24"/>
                          <w:szCs w:val="24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720725</wp:posOffset>
              </wp:positionH>
              <wp:positionV relativeFrom="page">
                <wp:posOffset>9851390</wp:posOffset>
              </wp:positionV>
              <wp:extent cx="731520" cy="128270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31520" cy="12827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CharStyle5"/>
                              <w:sz w:val="24"/>
                              <w:szCs w:val="24"/>
                            </w:rPr>
                            <w:t>2025-12077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9" type="#_x0000_t202" style="position:absolute;margin-left:56.75pt;margin-top:775.70000000000005pt;width:57.600000000000001pt;height:10.1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rStyle w:val="CharStyle5"/>
                        <w:sz w:val="24"/>
                        <w:szCs w:val="24"/>
                      </w:rPr>
                      <w:t>2025-12077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/>
    </w:rPr>
  </w:style>
  <w:style w:type="character" w:customStyle="1" w:styleId="CharStyle3">
    <w:name w:val="Body text (6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character" w:customStyle="1" w:styleId="CharStyle5">
    <w:name w:val="Header or footer (2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character" w:customStyle="1" w:styleId="CharStyle8">
    <w:name w:val="Body text (3)_"/>
    <w:basedOn w:val="DefaultParagraphFont"/>
    <w:link w:val="Styl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character" w:customStyle="1" w:styleId="CharStyle11">
    <w:name w:val="Body text (4)_"/>
    <w:basedOn w:val="DefaultParagraphFont"/>
    <w:link w:val="Style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character" w:customStyle="1" w:styleId="CharStyle13">
    <w:name w:val="Heading #2_"/>
    <w:basedOn w:val="DefaultParagraphFont"/>
    <w:link w:val="Style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character" w:customStyle="1" w:styleId="CharStyle17">
    <w:name w:val="Body text (5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20">
    <w:name w:val="Body text_"/>
    <w:basedOn w:val="DefaultParagraphFont"/>
    <w:link w:val="Style1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Picture caption_"/>
    <w:basedOn w:val="DefaultParagraphFont"/>
    <w:link w:val="Style22"/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character" w:customStyle="1" w:styleId="CharStyle27">
    <w:name w:val="Heading #1_"/>
    <w:basedOn w:val="DefaultParagraphFont"/>
    <w:link w:val="Style26"/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none"/>
      <w:lang w:val="en-US" w:eastAsia="en-US"/>
    </w:rPr>
  </w:style>
  <w:style w:type="character" w:customStyle="1" w:styleId="CharStyle30">
    <w:name w:val="Body text (2)_"/>
    <w:basedOn w:val="DefaultParagraphFont"/>
    <w:link w:val="Style29"/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  <w:style w:type="paragraph" w:customStyle="1" w:styleId="Style2">
    <w:name w:val="Body text (6)"/>
    <w:basedOn w:val="Normal"/>
    <w:link w:val="CharStyle3"/>
    <w:pPr>
      <w:widowControl w:val="0"/>
      <w:shd w:val="clear" w:color="auto" w:fill="auto"/>
      <w:spacing w:after="18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34"/>
      <w:szCs w:val="134"/>
      <w:u w:val="none"/>
      <w:lang w:val="en-US" w:eastAsia="en-US"/>
    </w:rPr>
  </w:style>
  <w:style w:type="paragraph" w:customStyle="1" w:styleId="Style4">
    <w:name w:val="Header or footer (2)"/>
    <w:basedOn w:val="Normal"/>
    <w:link w:val="CharStyle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lang w:val="en-US" w:eastAsia="en-US"/>
    </w:rPr>
  </w:style>
  <w:style w:type="paragraph" w:customStyle="1" w:styleId="Style7">
    <w:name w:val="Body text (3)"/>
    <w:basedOn w:val="Normal"/>
    <w:link w:val="CharStyle8"/>
    <w:pPr>
      <w:widowControl w:val="0"/>
      <w:shd w:val="clear" w:color="auto" w:fill="auto"/>
      <w:spacing w:after="260"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76198"/>
      <w:sz w:val="16"/>
      <w:szCs w:val="16"/>
      <w:u w:val="none"/>
    </w:rPr>
  </w:style>
  <w:style w:type="paragraph" w:customStyle="1" w:styleId="Style10">
    <w:name w:val="Body text (4)"/>
    <w:basedOn w:val="Normal"/>
    <w:link w:val="CharStyle11"/>
    <w:pPr>
      <w:widowControl w:val="0"/>
      <w:shd w:val="clear" w:color="auto" w:fill="auto"/>
      <w:spacing w:after="180" w:line="254" w:lineRule="auto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6198"/>
      <w:sz w:val="19"/>
      <w:szCs w:val="19"/>
      <w:u w:val="none"/>
    </w:rPr>
  </w:style>
  <w:style w:type="paragraph" w:customStyle="1" w:styleId="Style12">
    <w:name w:val="Heading #2"/>
    <w:basedOn w:val="Normal"/>
    <w:link w:val="CharStyle13"/>
    <w:pPr>
      <w:widowControl w:val="0"/>
      <w:shd w:val="clear" w:color="auto" w:fill="auto"/>
      <w:spacing w:after="260"/>
      <w:outlineLvl w:val="1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30"/>
      <w:szCs w:val="30"/>
      <w:u w:val="single"/>
    </w:rPr>
  </w:style>
  <w:style w:type="paragraph" w:customStyle="1" w:styleId="Style16">
    <w:name w:val="Body text (5)"/>
    <w:basedOn w:val="Normal"/>
    <w:link w:val="CharStyle17"/>
    <w:pPr>
      <w:widowControl w:val="0"/>
      <w:shd w:val="clear" w:color="auto" w:fill="auto"/>
      <w:spacing w:after="7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styleId="Style19">
    <w:name w:val="Body text"/>
    <w:basedOn w:val="Normal"/>
    <w:link w:val="CharStyle20"/>
    <w:qFormat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Picture caption"/>
    <w:basedOn w:val="Normal"/>
    <w:link w:val="CharStyle23"/>
    <w:pPr>
      <w:widowControl w:val="0"/>
      <w:shd w:val="clear" w:color="auto" w:fill="auto"/>
    </w:pPr>
    <w:rPr>
      <w:rFonts w:ascii="Georgia" w:eastAsia="Georgia" w:hAnsi="Georgia" w:cs="Georgia"/>
      <w:b w:val="0"/>
      <w:bCs w:val="0"/>
      <w:i w:val="0"/>
      <w:iCs w:val="0"/>
      <w:smallCaps w:val="0"/>
      <w:strike w:val="0"/>
      <w:color w:val="292929"/>
      <w:sz w:val="11"/>
      <w:szCs w:val="11"/>
      <w:u w:val="none"/>
    </w:rPr>
  </w:style>
  <w:style w:type="paragraph" w:customStyle="1" w:styleId="Style26">
    <w:name w:val="Heading #1"/>
    <w:basedOn w:val="Normal"/>
    <w:link w:val="CharStyle27"/>
    <w:pPr>
      <w:widowControl w:val="0"/>
      <w:shd w:val="clear" w:color="auto" w:fill="auto"/>
      <w:spacing w:after="28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40"/>
      <w:szCs w:val="40"/>
      <w:u w:val="none"/>
      <w:lang w:val="en-US" w:eastAsia="en-US"/>
    </w:rPr>
  </w:style>
  <w:style w:type="paragraph" w:customStyle="1" w:styleId="Style29">
    <w:name w:val="Body text (2)"/>
    <w:basedOn w:val="Normal"/>
    <w:link w:val="CharStyle30"/>
    <w:pPr>
      <w:widowControl w:val="0"/>
      <w:shd w:val="clear" w:color="auto" w:fill="auto"/>
      <w:ind w:left="390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414141"/>
      <w:sz w:val="12"/>
      <w:szCs w:val="1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footer" Target="footer1.xml"/><Relationship Id="rId6" Type="http://schemas.openxmlformats.org/officeDocument/2006/relationships/footer" Target="footer2.xml"/><Relationship Id="rId7" Type="http://schemas.openxmlformats.org/officeDocument/2006/relationships/image" Target="media/image1.jpeg"/><Relationship Id="rId8" Type="http://schemas.openxmlformats.org/officeDocument/2006/relationships/image" Target="media/image1.jpeg" TargetMode="External"/><Relationship Id="rId9" Type="http://schemas.openxmlformats.org/officeDocument/2006/relationships/image" Target="media/image2.jpeg"/><Relationship Id="rId10" Type="http://schemas.openxmlformats.org/officeDocument/2006/relationships/image" Target="media/image2.jpeg" TargetMode="External"/><Relationship Id="rId11" Type="http://schemas.openxmlformats.org/officeDocument/2006/relationships/image" Target="media/image3.jpeg"/><Relationship Id="rId12" Type="http://schemas.openxmlformats.org/officeDocument/2006/relationships/image" Target="media/image3.jpeg" TargetMode="External"/></Relationships>
</file>