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77595" distR="1056005" simplePos="0" relativeHeight="125829378" behindDoc="0" locked="0" layoutInCell="1" allowOverlap="1">
            <wp:simplePos x="0" y="0"/>
            <wp:positionH relativeFrom="page">
              <wp:posOffset>1782445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819150</wp:posOffset>
                </wp:positionH>
                <wp:positionV relativeFrom="paragraph">
                  <wp:posOffset>622300</wp:posOffset>
                </wp:positionV>
                <wp:extent cx="2416810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36824/25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5pt;margin-top:49.pt;width:190.30000000000001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7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36824/25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3965575</wp:posOffset>
                </wp:positionV>
                <wp:extent cx="1322705" cy="6737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09.09.2025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350000000000001pt;margin-top:312.25pt;width:104.15000000000001pt;height:53.05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09.09.2025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7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81000" distB="0" distL="114300" distR="114300" simplePos="0" relativeHeight="125829383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ГБУ «Жилищник района Некрасовка»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"mailto:ot-nekrasovka@mail.ru" </w:instrText>
      </w:r>
      <w:r>
        <w:fldChar w:fldCharType="separate"/>
      </w:r>
      <w:r>
        <w:rPr>
          <w:rStyle w:val="CharStyle7"/>
          <w:lang w:val="en-US" w:eastAsia="en-US"/>
        </w:rPr>
        <w:t>ot-nekrasovka@mail.ru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ИП Николенко А.Ф.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1140" w:right="0" w:firstLine="0"/>
        <w:jc w:val="both"/>
      </w:pPr>
      <w:r>
        <w:fldChar w:fldCharType="begin"/>
      </w:r>
      <w:r>
        <w:rPr/>
        <w:instrText> HYPERLINK "mailto:torgi@pandus.su" </w:instrText>
      </w:r>
      <w:r>
        <w:fldChar w:fldCharType="separate"/>
      </w:r>
      <w:r>
        <w:rPr>
          <w:rStyle w:val="CharStyle7"/>
          <w:lang w:val="en-US" w:eastAsia="en-US"/>
        </w:rPr>
        <w:t>torgi@pandus.su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№077/06/106-11343/2025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 участии представителя: ГБУ «Жилищник района Некрасовка»: Поляковой Н.С. (дов.№7 от </w:t>
      </w:r>
      <w:r>
        <w:rPr>
          <w:rStyle w:val="CharStyle7"/>
          <w:lang w:val="en-US" w:eastAsia="en-US"/>
        </w:rPr>
        <w:t xml:space="preserve">05.09.2025), </w:t>
      </w:r>
      <w:r>
        <w:rPr>
          <w:rStyle w:val="CharStyle7"/>
        </w:rPr>
        <w:t xml:space="preserve">ИП Николенко А.Ф.: Бородин Д.С., николенко А.Н. (дов.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04.09.2025),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00"/>
        <w:jc w:val="both"/>
      </w:pPr>
      <w:r>
        <w:rPr>
          <w:rStyle w:val="CharStyle7"/>
        </w:rPr>
        <w:t xml:space="preserve">рассмотрев жалобу ИП Николенко А.Ф.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 «Жилищник района Некрасовка»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запроса котировок в электронной форме на право заключения государственного контракта на поставка модульного </w:t>
      </w:r>
      <w:r>
        <w:rPr>
          <w:rStyle w:val="CharStyle7"/>
          <w:lang w:val="en-US" w:eastAsia="en-US"/>
        </w:rPr>
        <w:t xml:space="preserve">пaндуcа </w:t>
      </w:r>
      <w:r>
        <w:rPr>
          <w:rStyle w:val="CharStyle7"/>
        </w:rPr>
        <w:t xml:space="preserve">с оцинкованным прессованным настилом. (Закупка </w:t>
      </w:r>
      <w:r>
        <w:rPr>
          <w:rStyle w:val="CharStyle7"/>
          <w:lang w:val="en-US" w:eastAsia="en-US"/>
        </w:rPr>
        <w:t xml:space="preserve">№ 0373200649225000003)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запрос котировок),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запроса котировок.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 на нарушения в действиях комиссии по осуществлению закупок Заказчика, выразившиеся в неправомерном, по мнению Заявителя, неприменении запрета, предусмотренного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 1875), </w:t>
      </w:r>
      <w:r>
        <w:rPr>
          <w:rStyle w:val="CharStyle7"/>
        </w:rPr>
        <w:t>при рассмотрении заявок участников закупки, в частности в отношении заявки участника закупки, признанного победителем конкурентной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01.09.2025 </w:t>
      </w:r>
      <w:r>
        <w:rPr>
          <w:rStyle w:val="CharStyle7"/>
        </w:rPr>
        <w:t xml:space="preserve">№ИЗК1 на участие в закупке подано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заявок, при этом заявки участников закупки, в том числе заявка участника закупки ИП Николенко А.Ф. с идентификационным номером </w:t>
      </w:r>
      <w:r>
        <w:rPr>
          <w:rStyle w:val="CharStyle7"/>
          <w:lang w:val="en-US" w:eastAsia="en-US"/>
        </w:rPr>
        <w:t xml:space="preserve">2265895, </w:t>
      </w:r>
      <w:r>
        <w:rPr>
          <w:rStyle w:val="CharStyle7"/>
        </w:rPr>
        <w:t xml:space="preserve">а также заявка с идентификационным номером </w:t>
      </w:r>
      <w:r>
        <w:rPr>
          <w:rStyle w:val="CharStyle7"/>
          <w:lang w:val="en-US" w:eastAsia="en-US"/>
        </w:rPr>
        <w:t xml:space="preserve">2281601, </w:t>
      </w:r>
      <w:r>
        <w:rPr>
          <w:rStyle w:val="CharStyle7"/>
        </w:rPr>
        <w:t xml:space="preserve">признаны соответствующими требованиям извещения, а заявке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 xml:space="preserve">присвоен первый порядковый номер, в связи с чем участник закупки с идентификационным номером заявки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>признан победителем конкурентной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что, согласно описанию объекта закупки, Заказчиком закупается такой товар как «Пандус для маломобильных групп населения».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</w:t>
      </w:r>
      <w:r>
        <w:rPr>
          <w:rStyle w:val="CharStyle7"/>
          <w:sz w:val="24"/>
          <w:szCs w:val="24"/>
          <w:lang w:val="en-US" w:eastAsia="en-US"/>
        </w:rPr>
        <w:t>2025-41774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пп.«а»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Абз.2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иностранные лица), по перечню согласно приложению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</w:t>
      </w:r>
      <w:r>
        <w:rPr>
          <w:rStyle w:val="CharStyle7"/>
          <w:sz w:val="24"/>
          <w:szCs w:val="24"/>
          <w:lang w:val="en-US" w:eastAsia="en-US"/>
        </w:rPr>
        <w:t>2025-41774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в извещении об осуществлении закупки в отношении закупаемого Заказчиком товара установлен запрет, предусмотренный абз.2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ч.1 ст.50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п.3 или п.4,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пп.«а»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5"/>
          <w:sz w:val="24"/>
          <w:szCs w:val="24"/>
          <w:lang w:val="en-US" w:eastAsia="en-US"/>
        </w:rPr>
        <w:t>2025-41774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Пп.«а», «б»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 xml:space="preserve">Федерального закона «О промышленной политике в Российской Федерации»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7"/>
          <w:lang w:val="en-US" w:eastAsia="en-US"/>
        </w:rPr>
        <w:t xml:space="preserve">1(1) </w:t>
      </w:r>
      <w:r>
        <w:rPr>
          <w:rStyle w:val="CharStyle7"/>
        </w:rPr>
        <w:t xml:space="preserve">постановления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2" w:val="left"/>
        </w:tabs>
        <w:bidi w:val="0"/>
        <w:spacing w:before="0" w:after="0" w:line="257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N№2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приложении </w:t>
      </w:r>
      <w:r>
        <w:rPr>
          <w:rStyle w:val="CharStyle7"/>
          <w:lang w:val="en-US" w:eastAsia="en-US"/>
        </w:rPr>
        <w:t xml:space="preserve">№3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евразийский реестр промышленных товаров), содержащей в том числе: </w:t>
      </w:r>
      <w:r>
        <w:rPr>
          <w:rStyle w:val="CharStyle7"/>
          <w:sz w:val="24"/>
          <w:szCs w:val="24"/>
          <w:lang w:val="en-US" w:eastAsia="en-US"/>
        </w:rPr>
        <w:t>2025-41774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пп.«а» п.1 ч.3 ст.50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ч.2 ст.50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7"/>
          <w:lang w:val="en-US" w:eastAsia="en-US"/>
        </w:rPr>
        <w:t xml:space="preserve">- 8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03" w:right="540" w:bottom="675" w:left="109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предусмотренных пп.«а» п.1 (за исключением случая, предусмотренного п.5 ч.12 ст.48 Закона о контрактной системе), пп.«а» п.2 ч.4, пп.«а» п.1 (за </w:t>
      </w:r>
      <w:r>
        <w:rPr>
          <w:rStyle w:val="CharStyle7"/>
          <w:sz w:val="24"/>
          <w:szCs w:val="24"/>
          <w:lang w:val="en-US" w:eastAsia="en-US"/>
        </w:rPr>
        <w:t>2025-41774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>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4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32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4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4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в составе заявки участника закупки с идентификационным номером заявки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>к поставке представлен товар российского происхождения, а также представлены сведения, подтверждающие страну происхождения представленного к поставке товара, в частности сведения о номере реестровой записи из реестра промышленной продукции, в связи с чем у Заказчика отсутствовали основания для отклонения заявки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установлено, что в составе заявки участника закупки с идентификационным номером заявки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>представлены сведения о предлагаемом к поставке товаре российского производства, а также представлены сведения о номере реестровой записи из реестра промышленной продукции, подтверждающем страну происхождения представленного к поставке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у комиссии по осуществлению закупок отсутствовали правовые основания для отклонения заявки участника закупки на основании применения запрета, предусмотренного абз.2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у комиссии по осуществлению закупок Заказчика отсутствовали основания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 xml:space="preserve">для отклонения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>на основании установленного в составе извещения запрета на поставку товара, происходящего из иностранных государств.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Согласно п.1 ст.1482 Гражданского кодекса Российской Федерации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ГК РФ)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 соответствии с п.1 ст.1477 ГК РФ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В силу п.1 ст.1481 ГК РФ на товарный знак, зарегистрированный в Государственном реестре товарных знаков, выдается свидетельство на товарный знак.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Согласно п.1 ст.1503 ГК РФ на основании решения о государственной регистрации товарного знака, которое принято в порядке, установленном п.2 и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1499 </w:t>
      </w:r>
      <w:r>
        <w:rPr>
          <w:rStyle w:val="CharStyle7"/>
        </w:rPr>
        <w:t>ГК РФ или ст.1248 ГК РФ, федеральный орган исполнительной власти по интеллектуальной собственности в течение месяца со дня уплаты пошлины за государственную регистрацию товарного знака и за выдачу свидетельства на него осуществляет государственную регистрацию товарного знака в Государственном реестре товарных знаков.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заявок участников закупок представлены в том числе следующие сведения: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 составе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2281601: </w:t>
      </w:r>
      <w:r>
        <w:rPr>
          <w:rStyle w:val="CharStyle7"/>
        </w:rPr>
        <w:t xml:space="preserve">реестровый номер записи из реестра промышленной продукции </w:t>
      </w:r>
      <w:r>
        <w:rPr>
          <w:rStyle w:val="CharStyle7"/>
          <w:lang w:val="en-US" w:eastAsia="en-US"/>
        </w:rPr>
        <w:t xml:space="preserve">10642192, </w:t>
      </w:r>
      <w:r>
        <w:rPr>
          <w:rStyle w:val="CharStyle7"/>
        </w:rPr>
        <w:t>при этом указание на товарный знак товара отсутствует.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 составе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2265895: </w:t>
      </w:r>
      <w:r>
        <w:rPr>
          <w:rStyle w:val="CharStyle7"/>
        </w:rPr>
        <w:t xml:space="preserve">«Товарный знак: </w:t>
      </w:r>
      <w:r>
        <w:rPr>
          <w:rStyle w:val="CharStyle7"/>
          <w:lang w:val="en-US" w:eastAsia="en-US"/>
        </w:rPr>
        <w:t xml:space="preserve">PANDUSSU», </w:t>
      </w:r>
      <w:r>
        <w:rPr>
          <w:rStyle w:val="CharStyle7"/>
        </w:rPr>
        <w:t xml:space="preserve">реестровый номер записи из реестра промышленной продукции </w:t>
      </w:r>
      <w:r>
        <w:rPr>
          <w:rStyle w:val="CharStyle7"/>
          <w:lang w:val="en-US" w:eastAsia="en-US"/>
        </w:rPr>
        <w:t>10642192.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 Реестре товарных знаков содержится товарный знак </w:t>
      </w:r>
      <w:r>
        <w:rPr>
          <w:rStyle w:val="CharStyle7"/>
          <w:lang w:val="en-US" w:eastAsia="en-US"/>
        </w:rPr>
        <w:t xml:space="preserve">«PANDUSSU» </w:t>
      </w:r>
      <w:r>
        <w:rPr>
          <w:rStyle w:val="CharStyle7"/>
        </w:rPr>
        <w:t xml:space="preserve">(Номер государственной регистрации: </w:t>
      </w:r>
      <w:r>
        <w:rPr>
          <w:rStyle w:val="CharStyle7"/>
          <w:lang w:val="en-US" w:eastAsia="en-US"/>
        </w:rPr>
        <w:t xml:space="preserve">766535), </w:t>
      </w:r>
      <w:r>
        <w:rPr>
          <w:rStyle w:val="CharStyle7"/>
        </w:rPr>
        <w:t xml:space="preserve">при этом такой товарный знак распространяется на товар «пандусы металлические», а Правообладателем является Николенко А.Ф., при этом реестровому номеру записи из реестра промышленной продукции </w:t>
      </w:r>
      <w:r>
        <w:rPr>
          <w:rStyle w:val="CharStyle7"/>
          <w:lang w:val="en-US" w:eastAsia="en-US"/>
        </w:rPr>
        <w:t xml:space="preserve">10642192 </w:t>
      </w:r>
      <w:r>
        <w:rPr>
          <w:rStyle w:val="CharStyle7"/>
        </w:rPr>
        <w:t>соответствует товару «Пандус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rStyle w:val="CharStyle7"/>
        </w:rPr>
        <w:t>(рампа) модульный», производства ИП Николенко А.Ф.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товар, соответствующий реестровому номеру записи из реестра промышленной продукции </w:t>
      </w:r>
      <w:r>
        <w:rPr>
          <w:rStyle w:val="CharStyle7"/>
          <w:lang w:val="en-US" w:eastAsia="en-US"/>
        </w:rPr>
        <w:t xml:space="preserve">10642192, </w:t>
      </w:r>
      <w:r>
        <w:rPr>
          <w:rStyle w:val="CharStyle7"/>
        </w:rPr>
        <w:t xml:space="preserve">обладает товарным знаком </w:t>
      </w:r>
      <w:r>
        <w:rPr>
          <w:rStyle w:val="CharStyle7"/>
          <w:lang w:val="en-US" w:eastAsia="en-US"/>
        </w:rPr>
        <w:t>«PANDUSSU».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Вместе с этим, как установлено Комиссией Управления, в составе заявки участника закупки с идентификационным номером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>товарный знак поставляемого товара не указан.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участниками закупки представлена недостоверная информация об отсутствии у предлагаемого к поставке товара товарного знака.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решение комиссии по осуществлению закупок Заказчика в части признания заявок участников закупки с идентификационными номерами </w:t>
      </w:r>
      <w:r>
        <w:rPr>
          <w:rStyle w:val="CharStyle7"/>
          <w:lang w:val="en-US" w:eastAsia="en-US"/>
        </w:rPr>
        <w:t xml:space="preserve">2281601 </w:t>
      </w:r>
      <w:r>
        <w:rPr>
          <w:rStyle w:val="CharStyle7"/>
        </w:rPr>
        <w:t>соответствующими требованиям извещения является неправомерным и принято в нарушение пп.«а» п.1 ч.3 ст.50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0" w:bottom="1162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жалобу ИП Николенко А.Ф. на действия комиссии по осуществлению закупок ГБУ «Жилищник района Некрасовка»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Признать в действиях комиссии по осуществлению закупок Заказчика нарушения пп.«а» п.1 ч.3 ст.50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проведения закупки заключен государственный контракт с реестровым номером </w:t>
      </w:r>
      <w:r>
        <w:rPr>
          <w:rStyle w:val="CharStyle7"/>
          <w:lang w:val="en-US" w:eastAsia="en-US"/>
        </w:rPr>
        <w:t>3775120167323000120.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42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6535" distL="0" distR="0" simplePos="0" relativeHeight="125829384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8087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08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200000000000003pt;margin-top:10.pt;width:148.09999999999999pt;height:19.900000000000002pt;z-index:-125829369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6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6535" distL="0" distR="0" simplePos="0" relativeHeight="125829387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127000</wp:posOffset>
                </wp:positionV>
                <wp:extent cx="130746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5.25pt;margin-top:10.pt;width:102.95pt;height:19.900000000000002pt;z-index:-125829366;mso-wrap-distance-left:0;mso-wrap-distance-top:1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67950889C45403E5BD9EBC88A8D80C0D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4"/>
        </w:rPr>
        <w:t xml:space="preserve">Действителен с 19.05.2025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0000000000003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75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Матюшенко Александр Александрович</w:t>
      </w:r>
      <w:r>
        <w:rPr>
          <w:rStyle w:val="CharStyle24"/>
          <w:color w:val="000000"/>
        </w:rPr>
        <w:t xml:space="preserve"> </w:t>
      </w: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4F595A5C3E5ABB2DD77161F08559FC07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4"/>
        </w:rPr>
        <w:t xml:space="preserve">Действителен с 22.07.2025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15.10.2026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38150" distB="0" distL="0" distR="0" simplePos="0" relativeHeight="125829390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438150</wp:posOffset>
                </wp:positionV>
                <wp:extent cx="1722120" cy="25908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80000000000001pt;margin-top:34.5pt;width:135.59999999999999pt;height:20.400000000000002pt;z-index:-125829363;mso-wrap-distance-left:0;mso-wrap-distance-top:34.5pt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2" behindDoc="0" locked="0" layoutInCell="1" allowOverlap="1">
                <wp:simplePos x="0" y="0"/>
                <wp:positionH relativeFrom="page">
                  <wp:posOffset>5768340</wp:posOffset>
                </wp:positionH>
                <wp:positionV relativeFrom="paragraph">
                  <wp:posOffset>279400</wp:posOffset>
                </wp:positionV>
                <wp:extent cx="1447800" cy="2501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54.19999999999999pt;margin-top:22.pt;width:114.pt;height:19.699999999999999pt;z-index:-125829361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А.И. Рахматуллаев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1"/>
          <w:color w:val="FFFFFF"/>
          <w:sz w:val="12"/>
          <w:szCs w:val="12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7AEE97A08C8432425F146F6255A521C3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right="0" w:firstLine="0"/>
        <w:jc w:val="left"/>
      </w:pPr>
      <w:r>
        <w:rPr>
          <w:rStyle w:val="CharStyle24"/>
        </w:rPr>
        <w:t xml:space="preserve">Действителен с 12.11.2024 </w:t>
      </w:r>
      <w:r>
        <w:rPr>
          <w:rStyle w:val="CharStyle24"/>
          <w:color w:val="5D5D5D"/>
        </w:rPr>
        <w:t xml:space="preserve">по </w:t>
      </w:r>
      <w:r>
        <w:rPr>
          <w:rStyle w:val="CharStyle24"/>
        </w:rPr>
        <w:t>05.02.2026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5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42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10328275</wp:posOffset>
              </wp:positionV>
              <wp:extent cx="737870" cy="12509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2025-41774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550000000000004pt;margin-top:813.25pt;width:58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2025-41774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834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2025-41774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5pt;margin-top:794.7000000000000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2025-41774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450215</wp:posOffset>
              </wp:positionV>
              <wp:extent cx="64135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94999999999999pt;margin-top:35.450000000000003pt;width:5.0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6050" cy="850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6.10000000000002pt;margin-top:37.5pt;width:11.5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5">
    <w:name w:val="Body text (5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Picture caption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4">
    <w:name w:val="Body text (5)"/>
    <w:basedOn w:val="Normal"/>
    <w:link w:val="CharStyle15"/>
    <w:pPr>
      <w:widowControl w:val="0"/>
      <w:shd w:val="clear" w:color="auto" w:fill="auto"/>
      <w:spacing w:after="3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Picture caption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4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