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72970" distL="1169035" distR="1111250" simplePos="0" relativeHeight="125829378" behindDoc="0" locked="0" layoutInCell="1" allowOverlap="1">
            <wp:simplePos x="0" y="0"/>
            <wp:positionH relativeFrom="page">
              <wp:posOffset>1770380</wp:posOffset>
            </wp:positionH>
            <wp:positionV relativeFrom="paragraph">
              <wp:posOffset>12700</wp:posOffset>
            </wp:positionV>
            <wp:extent cx="53022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0" distL="114300" distR="114300" simplePos="0" relativeHeight="125829379" behindDoc="0" locked="0" layoutInCell="1" allowOverlap="1">
                <wp:simplePos x="0" y="0"/>
                <wp:positionH relativeFrom="page">
                  <wp:posOffset>715645</wp:posOffset>
                </wp:positionH>
                <wp:positionV relativeFrom="paragraph">
                  <wp:posOffset>628650</wp:posOffset>
                </wp:positionV>
                <wp:extent cx="2581910" cy="217043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70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"mailto:to86@fas.gov.ru"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>to86@fas.gov.ru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 xml:space="preserve">, </w:t>
                            </w:r>
                            <w:r>
                              <w:rPr>
                                <w:rStyle w:val="CharStyle5"/>
                              </w:rPr>
                              <w:t xml:space="preserve">сайт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"http://hmao.fas.gov.ru"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lang w:val="en-US" w:eastAsia="en-US"/>
                              </w:rPr>
                              <w:t>http://hmao.fas.gov.ru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350000000000001pt;margin-top:49.5pt;width:203.30000000000001pt;height:170.90000000000001pt;z-index:-125829374;mso-wrap-distance-left:9.pt;mso-wrap-distance-top:48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ул. Мира, д. 27, Ханты-Мансийск, 628012</w:t>
                        <w:br/>
                        <w:t>телефон/факс +7 (3467) 38-80-81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300"/>
                        <w:jc w:val="left"/>
                      </w:pPr>
                      <w:r>
                        <w:rPr>
                          <w:rStyle w:val="CharStyle5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"mailto:to86@fas.gov.ru"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lang w:val="en-US" w:eastAsia="en-US"/>
                        </w:rPr>
                        <w:t>to86@fas.gov.ru</w:t>
                      </w:r>
                      <w:r>
                        <w:fldChar w:fldCharType="end"/>
                      </w:r>
                      <w:r>
                        <w:rPr>
                          <w:rStyle w:val="CharStyle5"/>
                          <w:lang w:val="en-US" w:eastAsia="en-US"/>
                        </w:rPr>
                        <w:t xml:space="preserve">, </w:t>
                      </w:r>
                      <w:r>
                        <w:rPr>
                          <w:rStyle w:val="CharStyle5"/>
                        </w:rPr>
                        <w:t xml:space="preserve">сайт </w:t>
                      </w:r>
                      <w:r>
                        <w:fldChar w:fldCharType="begin"/>
                      </w:r>
                      <w:r>
                        <w:rPr/>
                        <w:instrText> HYPERLINK "http://hmao.fas.gov.ru"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lang w:val="en-US" w:eastAsia="en-US"/>
                        </w:rPr>
                        <w:t>http://hmao.fas.gov.ru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2700" distB="0" distL="114300" distR="114300" simplePos="0" relativeHeight="125829381" behindDoc="0" locked="0" layoutInCell="1" allowOverlap="1">
            <wp:simplePos x="0" y="0"/>
            <wp:positionH relativeFrom="page">
              <wp:posOffset>713105</wp:posOffset>
            </wp:positionH>
            <wp:positionV relativeFrom="paragraph">
              <wp:posOffset>9265920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rStyle w:val="CharStyle7"/>
          <w:b/>
          <w:bCs/>
        </w:rPr>
        <w:t>Оператор электронной площадки: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rStyle w:val="CharStyle7"/>
        </w:rPr>
        <w:t>ООО "РТС-тендер"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rStyle w:val="CharStyle7"/>
        </w:rPr>
        <w:t>121151, г. Москва, набережная Тараса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rStyle w:val="CharStyle7"/>
        </w:rPr>
        <w:t>Шевченко, д.23А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1040" w:right="0" w:firstLine="0"/>
        <w:jc w:val="left"/>
      </w:pPr>
      <w:r>
        <w:rPr>
          <w:rStyle w:val="CharStyle7"/>
        </w:rPr>
        <w:t xml:space="preserve">тел.: (495)7339519, (800) 7755800 </w:t>
      </w:r>
      <w:r>
        <w:rPr>
          <w:rStyle w:val="CharStyle7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7"/>
          <w:lang w:val="en-US" w:eastAsia="en-US"/>
        </w:rPr>
        <w:t>ko@rts-tender.ru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rStyle w:val="CharStyle7"/>
          <w:b/>
          <w:bCs/>
        </w:rPr>
        <w:t>Заявитель: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rStyle w:val="CharStyle7"/>
        </w:rPr>
        <w:t>ООО ЧОП «Орден»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rStyle w:val="CharStyle7"/>
        </w:rPr>
        <w:t>628305, Ханты-Мансийский автономный округ — Югра, г. Нефтеюганск, мкр. 11А, ул.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1040" w:right="0" w:firstLine="0"/>
        <w:jc w:val="left"/>
      </w:pPr>
      <w:r>
        <w:rPr>
          <w:rStyle w:val="CharStyle7"/>
        </w:rPr>
        <w:t>Дорожная, д. 89, пом. 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5300" w:right="0" w:firstLine="20"/>
        <w:jc w:val="left"/>
      </w:pPr>
      <w:r>
        <w:rPr>
          <w:rStyle w:val="CharStyle7"/>
          <w:b/>
          <w:bCs/>
        </w:rPr>
        <w:t>Заказчик: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5300" w:right="0" w:firstLine="20"/>
        <w:jc w:val="left"/>
      </w:pPr>
      <w:r>
        <w:rPr>
          <w:rStyle w:val="CharStyle7"/>
        </w:rPr>
        <w:t>Бюджетное учреждение Ханты-Мансийского автономного округа — Югры «Когалымский комплексный центр социального обслуживания населения»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20"/>
        <w:ind w:left="5300" w:right="0" w:firstLine="20"/>
        <w:jc w:val="left"/>
      </w:pPr>
      <w:r>
        <w:rPr>
          <w:rStyle w:val="CharStyle7"/>
        </w:rPr>
        <w:t>628486, Ханты-Мансийский автономный округ — Югра, г. Когалым, ул. Прибалтийская, 17А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 № 086/06/33-1758/2025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5803265</wp:posOffset>
                </wp:positionH>
                <wp:positionV relativeFrom="paragraph">
                  <wp:posOffset>12700</wp:posOffset>
                </wp:positionV>
                <wp:extent cx="1289050" cy="21653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56.94999999999999pt;margin-top:1.pt;width:101.5pt;height:17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7"/>
        </w:rPr>
        <w:t>Резолютивная часть объявлена 08.09.2025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Style w:val="CharStyle7"/>
        </w:rPr>
        <w:t>Изготовлено в полном объеме 11.09.2025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40"/>
        <w:jc w:val="both"/>
      </w:pPr>
      <w:r>
        <w:rPr>
          <w:rStyle w:val="CharStyle7"/>
        </w:rPr>
        <w:t>Комиссия Управления Федеральной антимонопольной службы по Ханты-Мансийскому автономному округу – Югре (далее - Управление) по контролю в сфере закупок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Председатель комиссии: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Валиуллин Р.Р. – Врио руководителя Управления;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Иванчикова Е.А. – Начальник отдела контроля закупок,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300"/>
        <w:ind w:left="0" w:right="0" w:firstLine="740"/>
        <w:jc w:val="both"/>
      </w:pPr>
      <w:r>
        <w:rPr>
          <w:rStyle w:val="CharStyle7"/>
        </w:rPr>
        <w:t>Шаврин А.В. – Эксперт отдела контроля закупок,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т Заявителя - отсутствовали, уведомлены надлежащим образом;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300"/>
        <w:ind w:left="0" w:right="0" w:firstLine="740"/>
        <w:jc w:val="both"/>
      </w:pPr>
      <w:r>
        <w:rPr>
          <w:rStyle w:val="CharStyle7"/>
        </w:rPr>
        <w:t>т Заказчика - отсутствовали, уведомлены надлежащим образом,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40"/>
        <w:jc w:val="both"/>
      </w:pPr>
      <w:r>
        <w:rPr>
          <w:rStyle w:val="CharStyle7"/>
        </w:rPr>
        <w:t>рассмотрев жалобу ООО ЧОП «Орден» (ИНН: 8604042738</w:t>
      </w:r>
      <w:r>
        <w:rPr>
          <w:rStyle w:val="CharStyle7"/>
          <w:rFonts w:ascii="Arial" w:eastAsia="Arial" w:hAnsi="Arial" w:cs="Arial"/>
          <w:color w:val="555555"/>
          <w:sz w:val="22"/>
          <w:szCs w:val="22"/>
        </w:rPr>
        <w:t xml:space="preserve">) </w:t>
      </w:r>
      <w:r>
        <w:rPr>
          <w:rStyle w:val="CharStyle7"/>
        </w:rPr>
        <w:t>№ 9568/25 от 03.09.2025 г., на действия Заказчика - Бюджетное учреждение Ханты-Мансийского автономного округа — Югры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7"/>
        </w:rPr>
        <w:t xml:space="preserve">«Когалымский комплексный центр социального обслуживания населения», при проведении закупки в форме электронного аукциона, объектом которой является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оказание услуг по физической (круглосуточной) охране объектов (извещение </w:t>
      </w:r>
      <w:r>
        <w:rPr>
          <w:rStyle w:val="CharStyle7"/>
          <w:lang w:val="en-US" w:eastAsia="en-US"/>
        </w:rPr>
        <w:t xml:space="preserve">№ 0387200010825000018) </w:t>
      </w:r>
      <w:r>
        <w:rPr>
          <w:rStyle w:val="CharStyle7"/>
        </w:rPr>
        <w:t xml:space="preserve">и в результате осуществления внеплановой проверки в соответствии с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15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99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В Управление Федеральной антимонопольной службы по Ханты-Мансийскому автономному округу - Югре поступила жалоба от ООО ЧОП «Орден» (ИНН: 8604042738</w:t>
      </w:r>
      <w:r>
        <w:rPr>
          <w:rStyle w:val="CharStyle7"/>
          <w:rFonts w:ascii="Arial" w:eastAsia="Arial" w:hAnsi="Arial" w:cs="Arial"/>
          <w:color w:val="555555"/>
          <w:sz w:val="22"/>
          <w:szCs w:val="22"/>
        </w:rPr>
        <w:t xml:space="preserve">) </w:t>
      </w:r>
      <w:r>
        <w:rPr>
          <w:rStyle w:val="CharStyle7"/>
        </w:rPr>
        <w:t>№ 9568/25 от 03.09.2025 г., на действия Заказчика - Бюджетное учреждение Ханты-Мансийского автономного округа — Югры «Когалымский комплексный центр социального обслуживания населения», при проведении закупки в форме электронного аукциона, объектом которой является — оказание услуг по физической (круглосуточной) охране объектов (извещение № 0387200010825000018).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В жалобе Заявитель указал следующее: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В пункте 6 Технического задания «Требование к участнику размещения заказа» установлено требование о том, что Исполнитель должен иметь: дежурную часть, пульт централизованного наблюдения (ПЦН), комнату хранения оружия и патронов (КХО) в местах фактического расположения объектов, передаваемых под охрану.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В пункте 6 Технического задания «Требование к участнику размещения заказа» установлено, что исполнитель должен иметь патрульный автотранспорт, оборудованный специальным, светозвуковым оборудованием и специальной раскраской и/или наклейками, позволяющими определить принадлежность к Исполнителю.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280"/>
        <w:ind w:left="0" w:right="0" w:firstLine="740"/>
        <w:jc w:val="both"/>
      </w:pPr>
      <w:r>
        <w:rPr>
          <w:rStyle w:val="CharStyle7"/>
        </w:rPr>
        <w:t>В пункте 14 Технического задания «Требования к организации Исполнителя (допуски, разрешения, согласования)» установлено требование о наличии разрешения и хранения оружия и патронов к нему (РХИ) в одном населенном пункте с местами нахождения объектов (в городе Когалым Ханты-Мансийского автономного округа – Югре) (ФЗ № 35-ФЗ от 06.03.2006 "О противодействии терроризму"), действующего на момент подачи заявки на участие в аукционе с приложением списка номерного учета оружия с указанием вида, модели, калибра, серии, номера каждой единицы оружия, разрешенного к хранению и использованию (статья 4 и часть 1 статьи 22 Федерального закона от 13 декабря 1996 г. № 150-ФЗ «Об оружии», пункт 54 Правил оборота гражданского и служебного оружия и патронов к нему на территории Российской Федерации, утвержденных Постановлением Правительства Российской Федерации от 21 июля 1998 г. № 814 «О мерах по регулированию оборота гражданского и служебного оружия и патронов к нему на территории Российской Федерации»).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  <w:b/>
          <w:bCs/>
        </w:rPr>
        <w:t>В ходе рассмотрения доводов сторон, материалов дела,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Согласно Технического задания на оказание услуг по физической (круглосуточной) охране объектов:</w:t>
      </w:r>
    </w:p>
    <w:tbl>
      <w:tblPr>
        <w:tblOverlap w:val="never"/>
        <w:jc w:val="center"/>
        <w:tblLayout w:type="fixed"/>
      </w:tblPr>
      <w:tblGrid>
        <w:gridCol w:w="557"/>
        <w:gridCol w:w="2338"/>
        <w:gridCol w:w="7315"/>
      </w:tblGrid>
      <w:tr>
        <w:trPr>
          <w:trHeight w:val="7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D9D9D9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№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D9D9D9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Параметры требований к товарам, работам, услугам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9D9D9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Конкретные требования к услугам, указываемые заказчиком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57"/>
        <w:gridCol w:w="2338"/>
        <w:gridCol w:w="7315"/>
      </w:tblGrid>
      <w:tr>
        <w:trPr>
          <w:trHeight w:val="7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Наименование, количество, закупаемых услуг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Оказание услуг по физической (круглосуточной) охране зданий.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Услуги по охране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2 </w:t>
            </w:r>
            <w:r>
              <w:rPr>
                <w:rStyle w:val="CharStyle15"/>
                <w:sz w:val="20"/>
                <w:szCs w:val="20"/>
              </w:rPr>
              <w:t>(двух) объектов учреждения.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Место оказания услуг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6628" w:val="left"/>
              </w:tabs>
              <w:bidi w:val="0"/>
              <w:spacing w:before="0" w:after="0" w:line="240" w:lineRule="auto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 xml:space="preserve">Места оказания услуг указаны в приложении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>№1</w:t>
              <w:tab/>
            </w:r>
            <w:r>
              <w:rPr>
                <w:rStyle w:val="CharStyle15"/>
                <w:b/>
                <w:bCs/>
                <w:sz w:val="20"/>
                <w:szCs w:val="20"/>
              </w:rPr>
              <w:t>к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настоящему техническому заданию.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Сроки оказания услуг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 xml:space="preserve">Начало оказания услуг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– (00:00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часов) с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01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января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2026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по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31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декабря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2026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года (до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00:00 </w:t>
            </w:r>
            <w:r>
              <w:rPr>
                <w:rStyle w:val="CharStyle15"/>
                <w:b/>
                <w:bCs/>
                <w:sz w:val="20"/>
                <w:szCs w:val="20"/>
              </w:rPr>
              <w:t xml:space="preserve">часов </w:t>
            </w:r>
            <w:r>
              <w:rPr>
                <w:rStyle w:val="CharStyle15"/>
                <w:b/>
                <w:bCs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15"/>
                <w:b/>
                <w:bCs/>
                <w:sz w:val="20"/>
                <w:szCs w:val="20"/>
              </w:rPr>
              <w:t>включительно).</w:t>
            </w:r>
          </w:p>
        </w:tc>
      </w:tr>
      <w:tr>
        <w:trPr>
          <w:trHeight w:val="15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Цели и результаты, закупаемых услуг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Охрана объектов направлена на обеспечение: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круглосуточной защиты охраняемых объектов и имущества Заказчика;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непрерывности работы объектов учреждения, в условиях сохранности материальных ценностей;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пропускного режима и внутриобъектового режима, соблюдения правопорядка;</w:t>
            </w:r>
          </w:p>
        </w:tc>
      </w:tr>
      <w:tr>
        <w:trPr>
          <w:trHeight w:val="1085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5.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Условия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оказания услуг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Услуги по физической охране объектов осуществляются путем выставления на охранный пост объекта в круглосуточном режиме с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07-00 </w:t>
            </w:r>
            <w:r>
              <w:rPr>
                <w:rStyle w:val="CharStyle15"/>
                <w:sz w:val="20"/>
                <w:szCs w:val="20"/>
              </w:rPr>
              <w:t xml:space="preserve">до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>07</w:t>
              <w:softHyphen/>
              <w:t>00.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Обязательное наличие у охранников специальной форменной одежды с символикой «Охрана», эмблемой и названием Исполнителя в течение дежурства, что позволит определять их принадлежность к конкретной частной охранной организации.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На объектах охраны должны находиться журналы строгой отчетности и вестись записи с указанием времени заступления смены охраны, фамилий дежурных сотрудников, находящихся на охраняемых объектах, произведенных заменах и подменах дежурных лиц, о происшествиях во время дежурства, о времени выхода на патрулирование.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При выявлении Заказчиком факта нарушения сотрудником охраны должностной инструкции или по иному обоснованному требованию Исполнитель, в течение одного часа обязан осуществить замену сотрудника охраны.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Исполнитель несет материальную ответственность: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за ущерб причиненный кражами имущества, совершенными посредством взлома на охраняемых объектах запоров, замков дверей, окон, ограждений либо иными способами, если будет доказано, что ущерб причинен в результате ненадлежащей охраны;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за ущерб, причиненный уничтожением или повреждением имущества (в том числе путем поджога), если будет доказано, что ущерб причинен в результате ненадлежащего выполнения Исполнителем принятых на себя обязательств.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Факты хищения, уничтожения или повреждения имущества, либо вследствие пожара, или в силу других причин по вине работников Исполнителя, осуществляющих охрану объектов, устанавливаются в порядке, определяемым действующим законодательством РФ.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Исполнитель не несет ответственности за имущественный ущерб, причиненный стихийными бедствиями.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Охранники должны быть наделены полномочиями взаимодействия с соответствующими службами Заказчика, подразделениями полиции и оперативным отделением полиции в плане соблюдения общественного порядка и принятия мер по выявленным нарушениям, преступным посягательствам, в целях обеспечения безопасности и пропускного режима, органами МЧС.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Требования к сотруднику охраны на объекте: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На объектах несут службу лица со строгим соблюдением правил ношения формы одежды.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2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Во время дежурства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15"/>
                <w:sz w:val="20"/>
                <w:szCs w:val="20"/>
              </w:rPr>
              <w:t>подчиняться распоряжениям руководства охранного предприятия, а также выполнять указания уполномоченных (должностных лиц) лиц Заказчика.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57"/>
        <w:gridCol w:w="2338"/>
        <w:gridCol w:w="7315"/>
      </w:tblGrid>
      <w:tr>
        <w:trPr>
          <w:trHeight w:val="1429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Осуществлять пропускной режим при въезде и выезде на территорию учреждения при помощи шлагбаума, (на период неисправности или ремонтных работ шлагбаума, пропускной режим осуществлять с помощью ворот) с регистрацией номеров автомобильного транспорта в «Журнале регистрации транспортных средств».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Обеспечивать охрану материальных ценностей Заказчика, принятых под охрану от хищения, других посягательств и правонарушений.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Не допускать проникновения посторонних лиц на охраняемый объект.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Контролировать внос и вынос товарно-материальных ценностей на охраняемых объектах.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Выполнять требования законодательства РФ и нормативных правовых актов при оказании охранных услуг.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Сообщать Заказчику обо всех недостатках в работе технических средств охраны, системы противопожарной автоматики, используемых на охраняемых объектах, вносить записи в журнал заявок с фиксацией даты, времени и описания технической неисправности, ложного срабатывания.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Соблюдать технику безопасности, правила эксплуатации технических средств охраны, правила пожарной безопасности, применения специальных средств, правил эксплуатации технических средств охраны на охраняемом объекте во время оказания услуг.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В случае обнаружения на охраняемом объекте пожара или срабатывания системы противопожарной автоматики, немедленно сообщить об этом в пожарную часть и принимать меры по ликвидации пожара подручными средствами до прибытия пожарного расчета, в случае оценки обстановки с повышенным риском при возникновении прямой угрозы жизни и здоровья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– </w:t>
            </w:r>
            <w:r>
              <w:rPr>
                <w:rStyle w:val="CharStyle15"/>
                <w:sz w:val="20"/>
                <w:szCs w:val="20"/>
              </w:rPr>
              <w:t>покинуть здание.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Не разглашать ставшую известной во время исполнения обязанностей по государственному контракту конфиденциальную информацию о деятельности Заказчика.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Не отвлекаться от дежурства посторонними разговорами, личными делами.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Не допускать на объект лиц, приносящих крупногабаритные предметы, сумки, коробки и иную кладь, вызывающую подозрения.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Обеспечивать безопасность объектов и находящихся в них работников, получателей социальных услуг (посетителей), в случае возникновения чрезвычайных обстоятельств (угроза террористического акта, пожар, стихийные бедствия).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Оказывать помощь в эвакуации людей и имущества из зданий Заказчика.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Своевременно информировать Заказчика о чрезвычайных происшествиях, случившихся на охраняемых объектах.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Поддерживать в надлежащем порядке и исправном состоянии предоставленное Заказчиком оборудование и другое имущество в служебном помещении. Соблюдать правила эксплуатации технических средств охраны.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Не покидать пост, соблюдая установленный порядок пропуска посетителей на охраняемых объектах.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Каждый сотрудник охраны должен: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иметь удостоверение охранника установленного образца;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иметь личную карточку охранника;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знать назначение и уметь пользоваться техническими средствами охраны и противопожарной автоматики (системами охранно-пожарной сигнализации, системами оповещения кнопкой тревожной сигнализации, системами видеонаблюдения, средствами радиосвязи, металлодетектором);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уметь действовать при возникновении чрезвычайных ситуаций (пожар, обнаружение посторонних предметов, захват заложников и др.);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иметь средства мобильной связи, обеспечивающие бесперебойную связь между охранниками дежурной смены охраны и ответственным сотрудником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894"/>
        <w:gridCol w:w="7315"/>
      </w:tblGrid>
      <w:tr>
        <w:trPr>
          <w:trHeight w:val="81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Заказчика по вопросам безопасности (за счет Исполнителя).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При приеме смены осуществлять наружный обход территории, обращая особое внимание на наличие посторонних предметов у стен здания, целостность остекления окон, дверей запасных (эвакуационных) выходов и основного входа, делать записи по результатам обходов.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Доступ посетителей осуществляется по согласованию с администрацией учреждения и наличия удостоверения личности (паспорт, иной документ), с обязательной регистрацией в «Журнале регистрации посетителей».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При осуществлении на объектах внутриобъектового режима, пропускного режима обращать особое внимание на прибывших, проверять документы, удостоверяющих личность и подтверждающие наличие разрешений на работу в периметре учреждения, выполняющих ремонтно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– </w:t>
            </w:r>
            <w:r>
              <w:rPr>
                <w:rStyle w:val="CharStyle15"/>
                <w:sz w:val="20"/>
                <w:szCs w:val="20"/>
              </w:rPr>
              <w:t>строительные и другие виды работ.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Охранники обязаны надлежащим образом вести документацию на дежурных постах охраняемых объектов: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«Журнал приема-сдачи смен»;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«Журнал выдачи специальных средств»;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«Журнал контроля обхода территории».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b/>
                <w:bCs/>
                <w:sz w:val="20"/>
                <w:szCs w:val="20"/>
              </w:rPr>
              <w:t>Сотруднику охраны объекта запрещается: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Отлучаться с объекта без подмены.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Находиться на объекте в нетрезвом состоянии, в состоянии наркотического опьянения, распивать спиртные напитки.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Вступать в неслужебные разговоры и контакты во время дежурства, заниматься посторонними делами.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Вести неслужебные разговоры по телефону.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Разрешать внос и вынос, ввоз и вывоз материальных ценностей без оформленных должным образом документов.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Допускать на объект посторонних и подозрительных лиц.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Допускать без проверки на объекты лиц, проносящих громоздкие сумки, коробки и другие предметы, вызывающие подозрение.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Привлечение соисполнителя не допускается.</w:t>
            </w:r>
          </w:p>
        </w:tc>
      </w:tr>
      <w:tr>
        <w:trPr>
          <w:trHeight w:val="60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2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6. </w:t>
            </w:r>
            <w:r>
              <w:rPr>
                <w:rStyle w:val="CharStyle15"/>
                <w:sz w:val="20"/>
                <w:szCs w:val="20"/>
              </w:rPr>
              <w:t>Требования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66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к участнику размещения заказа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Наличие действующей лицензии на осуществление частной охранной деятельности в соответствии с Федеральным законом от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04.05.2011 № </w:t>
            </w:r>
            <w:r>
              <w:rPr>
                <w:rStyle w:val="CharStyle15"/>
                <w:sz w:val="20"/>
                <w:szCs w:val="20"/>
              </w:rPr>
              <w:t xml:space="preserve">99-ФЗ «О лицензировании отдельных видов деятельности» и оказывает услугу в соответствии с законом РФ от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11 </w:t>
            </w:r>
            <w:r>
              <w:rPr>
                <w:rStyle w:val="CharStyle15"/>
                <w:sz w:val="20"/>
                <w:szCs w:val="20"/>
              </w:rPr>
              <w:t xml:space="preserve">марта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1992 </w:t>
            </w:r>
            <w:r>
              <w:rPr>
                <w:rStyle w:val="CharStyle15"/>
                <w:sz w:val="20"/>
                <w:szCs w:val="20"/>
              </w:rPr>
              <w:t xml:space="preserve">г.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N 2487-1 </w:t>
            </w:r>
            <w:r>
              <w:rPr>
                <w:rStyle w:val="CharStyle15"/>
                <w:sz w:val="20"/>
                <w:szCs w:val="20"/>
              </w:rPr>
              <w:t>«О частной детективной и охранной деятельности в Российской Федерации».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и (или) выписка из реестра лицензий на вышеуказанный вид деятельности, по форме, утвержденной постановлением Правительства РФ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№ 2343 </w:t>
            </w:r>
            <w:r>
              <w:rPr>
                <w:rStyle w:val="CharStyle15"/>
                <w:sz w:val="20"/>
                <w:szCs w:val="20"/>
              </w:rPr>
              <w:t xml:space="preserve">«Об утверждении Правил формирования и ведения реестра лицензий и типовой формы выписки из реестра лицензий» от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>29.12.2020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и (или) сведения о записи в реестре лицензий, подтверждающей наличие права на осуществление разрешенных видов деятельности (видов услуг (работ)), составляющих лицензируемый вид деятельности: по охранной деятельности в соответствии с п.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32, 33 </w:t>
            </w:r>
            <w:r>
              <w:rPr>
                <w:rStyle w:val="CharStyle15"/>
                <w:sz w:val="20"/>
                <w:szCs w:val="20"/>
              </w:rPr>
              <w:t xml:space="preserve">ч.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5"/>
                <w:sz w:val="20"/>
                <w:szCs w:val="20"/>
              </w:rPr>
              <w:t xml:space="preserve">ст.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12 </w:t>
            </w:r>
            <w:r>
              <w:rPr>
                <w:rStyle w:val="CharStyle15"/>
                <w:sz w:val="20"/>
                <w:szCs w:val="20"/>
              </w:rPr>
              <w:t xml:space="preserve">ФЗ от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04 </w:t>
            </w:r>
            <w:r>
              <w:rPr>
                <w:rStyle w:val="CharStyle15"/>
                <w:sz w:val="20"/>
                <w:szCs w:val="20"/>
              </w:rPr>
              <w:t xml:space="preserve">мая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2011 </w:t>
            </w:r>
            <w:r>
              <w:rPr>
                <w:rStyle w:val="CharStyle15"/>
                <w:sz w:val="20"/>
                <w:szCs w:val="20"/>
              </w:rPr>
              <w:t xml:space="preserve">года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15"/>
                <w:sz w:val="20"/>
                <w:szCs w:val="20"/>
              </w:rPr>
              <w:t>99-ФЗ;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Постановления Правительства РФ от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11 </w:t>
            </w:r>
            <w:r>
              <w:rPr>
                <w:rStyle w:val="CharStyle15"/>
                <w:sz w:val="20"/>
                <w:szCs w:val="20"/>
              </w:rPr>
              <w:t xml:space="preserve">марта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1992 </w:t>
            </w:r>
            <w:r>
              <w:rPr>
                <w:rStyle w:val="CharStyle15"/>
                <w:sz w:val="20"/>
                <w:szCs w:val="20"/>
              </w:rPr>
              <w:t xml:space="preserve">г.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N 2487-1 </w:t>
            </w:r>
            <w:r>
              <w:rPr>
                <w:rStyle w:val="CharStyle15"/>
                <w:sz w:val="20"/>
                <w:szCs w:val="20"/>
              </w:rPr>
              <w:t>«О частной детективной и охранной деятельности в Российской Федерации», а именно:</w:t>
            </w:r>
          </w:p>
          <w:p>
            <w:pPr>
              <w:pStyle w:val="Style14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815" w:val="left"/>
              </w:tabs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защита жизни и здоровья граждан;</w:t>
            </w:r>
          </w:p>
          <w:p>
            <w:pPr>
              <w:pStyle w:val="Style14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15" w:val="left"/>
              </w:tabs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7 </w:t>
            </w:r>
            <w:r>
              <w:rPr>
                <w:rStyle w:val="CharStyle15"/>
                <w:sz w:val="20"/>
                <w:szCs w:val="20"/>
              </w:rPr>
              <w:t xml:space="preserve">части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2 </w:t>
            </w:r>
            <w:r>
              <w:rPr>
                <w:rStyle w:val="CharStyle15"/>
                <w:sz w:val="20"/>
                <w:szCs w:val="20"/>
              </w:rPr>
              <w:t xml:space="preserve">статьи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3 </w:t>
            </w:r>
            <w:r>
              <w:rPr>
                <w:rStyle w:val="CharStyle15"/>
                <w:sz w:val="20"/>
                <w:szCs w:val="20"/>
              </w:rPr>
              <w:t xml:space="preserve">Закона РФ от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11.03.1992 № 2487-1 </w:t>
            </w:r>
            <w:r>
              <w:rPr>
                <w:rStyle w:val="CharStyle15"/>
                <w:sz w:val="20"/>
                <w:szCs w:val="20"/>
              </w:rPr>
              <w:t>«О частной детективной и охранной деятельности в Российской Федерации»;</w:t>
            </w:r>
          </w:p>
          <w:p>
            <w:pPr>
              <w:pStyle w:val="Style14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15" w:val="left"/>
              </w:tabs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обеспечение внутриобъектового и пропускного режимов на объектах, за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894"/>
        <w:gridCol w:w="7315"/>
      </w:tblGrid>
      <w:tr>
        <w:trPr>
          <w:trHeight w:val="101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исключением объектов, предусмотренных пунктом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7 </w:t>
            </w:r>
            <w:r>
              <w:rPr>
                <w:rStyle w:val="CharStyle15"/>
                <w:sz w:val="20"/>
                <w:szCs w:val="20"/>
              </w:rPr>
              <w:t xml:space="preserve">статьи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3 </w:t>
            </w:r>
            <w:r>
              <w:rPr>
                <w:rStyle w:val="CharStyle15"/>
                <w:sz w:val="20"/>
                <w:szCs w:val="20"/>
              </w:rPr>
              <w:t xml:space="preserve">Закона Российской Федерации от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11.03.1992 № 2487-1 </w:t>
            </w:r>
            <w:r>
              <w:rPr>
                <w:rStyle w:val="CharStyle15"/>
                <w:sz w:val="20"/>
                <w:szCs w:val="20"/>
              </w:rPr>
              <w:t>«О частной детективной и охранной деятельности в Российской Федерации»;</w:t>
            </w:r>
          </w:p>
          <w:p>
            <w:pPr>
              <w:pStyle w:val="Style14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125" w:val="left"/>
              </w:tabs>
              <w:bidi w:val="0"/>
              <w:spacing w:before="0" w:after="4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3 </w:t>
            </w:r>
            <w:r>
              <w:rPr>
                <w:rStyle w:val="CharStyle15"/>
                <w:sz w:val="20"/>
                <w:szCs w:val="20"/>
              </w:rPr>
              <w:t xml:space="preserve">статьи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11 </w:t>
            </w:r>
            <w:r>
              <w:rPr>
                <w:rStyle w:val="CharStyle15"/>
                <w:sz w:val="20"/>
                <w:szCs w:val="20"/>
              </w:rPr>
              <w:t xml:space="preserve">Закона Российской Федерации от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11.03.1992 № 2487-1 </w:t>
            </w:r>
            <w:r>
              <w:rPr>
                <w:rStyle w:val="CharStyle15"/>
                <w:sz w:val="20"/>
                <w:szCs w:val="20"/>
              </w:rPr>
              <w:t>«О частной детективной и охранной деятельности в Российской Федерации».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Наличие в управленческом аппарате специально выделенных сотрудников проводящих проверки несения службы на объектах охраны не менее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5"/>
                <w:sz w:val="20"/>
                <w:szCs w:val="20"/>
              </w:rPr>
              <w:t>раза в неделю.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Наличие форменной одежды (название/эмблема на одежде обязательно) в зависимости от сезона, места несения службы, задач охранника.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Руководитель охранного предприятия должен иметь, удостоверение охранника нового образца с отметкой о прохождении курсов повышения квалификации руководителей частных охранных организаций и свидетельства о прохождении курсов повышения квалификации руководителей охранных организаций.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Сотрудники охраны выставляемые на охраняемые объекты должны иметь удостоверение охранника нового образца, с наличием свидетельства о прохождении ежегодного квалификационного экзамена, личную карточку охранника.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Охранники, несущие круглосуточное дежурство на объекте учреждения должны быть обеспечены спецсредствами, выделенными за счет Исполнителя (резиновая дубинка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5"/>
                <w:sz w:val="20"/>
                <w:szCs w:val="20"/>
              </w:rPr>
              <w:t xml:space="preserve">единица, ручной металлодетектор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5"/>
                <w:sz w:val="20"/>
                <w:szCs w:val="20"/>
              </w:rPr>
              <w:t xml:space="preserve">единица, наручники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5"/>
                <w:sz w:val="20"/>
                <w:szCs w:val="20"/>
              </w:rPr>
              <w:t>единица), пройти обучение по обеспечению антитеррористической защищенности объектов, пресечение функционирования беспилотных аппаратов.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640"/>
              <w:jc w:val="both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Исполнитель должен иметь:</w:t>
            </w:r>
          </w:p>
          <w:p>
            <w:pPr>
              <w:pStyle w:val="Style14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667" w:val="left"/>
              </w:tabs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дежурную часть, пульт централизованного наблюдения (ПЦН), комнату хранения оружия и патронов (КХО) в местах фактического расположения объектов, передаваемых под охрану;</w:t>
            </w:r>
          </w:p>
          <w:p>
            <w:pPr>
              <w:pStyle w:val="Style14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667" w:val="left"/>
              </w:tabs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патрульный автотранспорт, оборудованный специальным, светозвуковым оборудованием и специальной раскраской и/или наклейками, позволяющими определить принадлежность к Исполнителю;</w:t>
            </w:r>
          </w:p>
          <w:p>
            <w:pPr>
              <w:pStyle w:val="Style14"/>
              <w:keepNext w:val="0"/>
              <w:keepLines w:val="0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pos="715" w:val="left"/>
              </w:tabs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не менее двух вооруженных сотрудников в авто-патруле, экипированных специальными средствами и средствами бронезащиты;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Привлечение соисполнителя не допускается.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7. </w:t>
            </w:r>
            <w:r>
              <w:rPr>
                <w:rStyle w:val="CharStyle15"/>
                <w:sz w:val="20"/>
                <w:szCs w:val="20"/>
              </w:rPr>
              <w:t>Порядок оказания услуг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Согласно условиям, изложенным в контракте.</w:t>
            </w:r>
          </w:p>
        </w:tc>
      </w:tr>
      <w:tr>
        <w:trPr>
          <w:trHeight w:val="31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66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Требования к качеству услуг, качеству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660" w:right="0" w:hanging="46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8. </w:t>
            </w:r>
            <w:r>
              <w:rPr>
                <w:rStyle w:val="CharStyle15"/>
                <w:sz w:val="20"/>
                <w:szCs w:val="20"/>
              </w:rPr>
              <w:t>материалов, используемых при оказании услуг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Качество оказываемых услуг по физической охране объектов учреждения должно соответствовать Закону Российской Федерации от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11.03.1992 № 2487-1 </w:t>
            </w:r>
            <w:r>
              <w:rPr>
                <w:rStyle w:val="CharStyle15"/>
                <w:sz w:val="20"/>
                <w:szCs w:val="20"/>
              </w:rPr>
              <w:t>«О частной детективной и охранной деятельности в Российской Федерации».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Исполнитель обязан предоставлять по требованию Заказчика документацию необходимую, для проверки качества оказываемых охранных услуг.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Исполнитель обязан выполнять должностные обязанности, иметь аккуратный внешний вид, соблюдать установленную единую форму одежды, быть внимательным и вежливым с сотрудниками и посетителями Заказчика.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Заказчик обеспечивает работников Исполнителя рабочими местами, оборудованными необходимой мебелью, телефонной связью, свободный доступ к установленным в пределах объектов средствам связи и пожаротушения, а также к местам общего пользования.</w:t>
            </w:r>
          </w:p>
        </w:tc>
      </w:tr>
      <w:tr>
        <w:trPr>
          <w:trHeight w:val="7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660" w:right="0" w:hanging="46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9. </w:t>
            </w:r>
            <w:r>
              <w:rPr>
                <w:rStyle w:val="CharStyle15"/>
                <w:sz w:val="20"/>
                <w:szCs w:val="20"/>
              </w:rPr>
              <w:t>Требования к безопасности оказания услуг и безопасности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Исполнитель обязан при возникновении чрезвычайных ситуаций, пожаров или аварий на охраняемых объектах действовать согласно разработанным Заказчиком и согласованным Исполнителем инструкциями.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57"/>
        <w:gridCol w:w="2338"/>
        <w:gridCol w:w="7315"/>
      </w:tblGrid>
      <w:tr>
        <w:trPr>
          <w:trHeight w:val="28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результатов услуг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Не допускать на охраняемые объекты в выходные дни и в нерабочее время работников Заказчика, а также иных лиц, без предварительного разрешение на это работника Заказчика, отвечающего за безопасность.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Исполнитель обязан нести полную материальную ответственность за охраняемые объекты, ответственность за безопасность работников, получателей социальных услуг (посетителей).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Исполнитель должен гарантировать соблюдение охранниками правил поведения и дисциплины, принятых в учреждении Заказчика.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Сотрудник охранного предприятия обязан во время несения службы соблюдать должностную инструкцию охранника, запрещается выполнять действия не связанные с выполнением функциональных обязанностей охранника.</w:t>
            </w:r>
          </w:p>
        </w:tc>
      </w:tr>
      <w:tr>
        <w:trPr>
          <w:trHeight w:val="20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Порядок сдачи и приемки результатов услуг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Приемка услуг на соответствие их объема и качества требованиям, установленным в государственном контракте, производится за период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– </w:t>
            </w:r>
            <w:r>
              <w:rPr>
                <w:rStyle w:val="CharStyle15"/>
                <w:sz w:val="20"/>
                <w:szCs w:val="20"/>
              </w:rPr>
              <w:t>один месяц.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Исполнитель не позднее пятого числа месяца, следующего за отчетным, направляет в адрес Заказчика акт об оказанных услугах.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Стороны подписывают акты об оказанных услугах за каждый отчётный период не позднее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5 </w:t>
            </w:r>
            <w:r>
              <w:rPr>
                <w:rStyle w:val="CharStyle15"/>
                <w:sz w:val="20"/>
                <w:szCs w:val="20"/>
              </w:rPr>
              <w:t>дней со дня получения Заказчиком акта об оказанных услугах.</w:t>
            </w:r>
          </w:p>
        </w:tc>
      </w:tr>
      <w:tr>
        <w:trPr>
          <w:trHeight w:val="20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11.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Требования по техническому обучению к сотрудникам Исполнителя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Сотрудники Исполнителя перед первым заступлением на круглосуточное дежурство, должны пройти инструктаж по соблюдению пожарной и антитеррористической безопасности, действующих правил по охране труда на объектах Заказчика.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Сотрудники Исполнителя должны ознакомиться с документами наблюдательного дела, хранящегося на постах охраны каждого объекта Заказчика, под роспись в листе ознакомления (с инструкциями, правилами, поэтажными схемами объекта и др.), согласно списку наблюдательного дела.</w:t>
            </w:r>
          </w:p>
        </w:tc>
      </w:tr>
      <w:tr>
        <w:trPr>
          <w:trHeight w:val="82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12.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Требования по объему гарантий качества оказываемых услуг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Гарантия качества предоставляется Исполнителем на весь объем оказываемых услуг.</w:t>
            </w:r>
          </w:p>
        </w:tc>
      </w:tr>
      <w:tr>
        <w:trPr>
          <w:trHeight w:val="3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13.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Иные требования к услугам и условиям их оказания по усмотрению заказчика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Периодический обход сотрудниками Исполнителя территорий объекта, в ходе которого осуществляется контрольный обход и осмотр с внешней стороны, подлежащих охране, установленного на крышах и на стенах зданий оборудования (конструкций), время обхода охраняемой территории не более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10 </w:t>
            </w:r>
            <w:r>
              <w:rPr>
                <w:rStyle w:val="CharStyle15"/>
                <w:sz w:val="20"/>
                <w:szCs w:val="20"/>
              </w:rPr>
              <w:t xml:space="preserve">минут, с интервалом, каждые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2 </w:t>
            </w:r>
            <w:r>
              <w:rPr>
                <w:rStyle w:val="CharStyle15"/>
                <w:sz w:val="20"/>
                <w:szCs w:val="20"/>
              </w:rPr>
              <w:t>часа, в течение суточного дежурства.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Кандидатуры работников Исполнителя (охранников), график их сменности, системы охраны и иные вопросы будут решаться Исполнителем по согласованию с Заказчиком.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56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В течение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5 </w:t>
            </w:r>
            <w:r>
              <w:rPr>
                <w:rStyle w:val="CharStyle15"/>
                <w:sz w:val="20"/>
                <w:szCs w:val="20"/>
              </w:rPr>
              <w:t>дней после заключения Договора Исполнитель обязан осмотреть охраняемые объекты и составить акты их обследования.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56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Подтверждение бухгалтерской отчетностью наличие в штате организации необходимого количества охранников.</w:t>
            </w:r>
          </w:p>
        </w:tc>
      </w:tr>
      <w:tr>
        <w:trPr>
          <w:trHeight w:val="316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  <w:lang w:val="en-US" w:eastAsia="en-US"/>
              </w:rPr>
              <w:t>14.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>Требования к организации Исполнителя (допуски, разрешения, согласования)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left"/>
              <w:rPr>
                <w:sz w:val="20"/>
                <w:szCs w:val="20"/>
              </w:rPr>
            </w:pPr>
            <w:r>
              <w:rPr>
                <w:rStyle w:val="CharStyle15"/>
                <w:sz w:val="20"/>
                <w:szCs w:val="20"/>
              </w:rPr>
              <w:t xml:space="preserve">Наличие разрешения и хранения оружия и патронов к нему (РХИ) в одном населенном пункте с местами нахождения объектов (в городе Когалым Ханты- Мансийского автономного округа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– </w:t>
            </w:r>
            <w:r>
              <w:rPr>
                <w:rStyle w:val="CharStyle15"/>
                <w:sz w:val="20"/>
                <w:szCs w:val="20"/>
              </w:rPr>
              <w:t xml:space="preserve">Югре) (ФЗ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15"/>
                <w:sz w:val="20"/>
                <w:szCs w:val="20"/>
              </w:rPr>
              <w:t xml:space="preserve">35-ФЗ от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06.03.2006 </w:t>
            </w:r>
            <w:r>
              <w:rPr>
                <w:rStyle w:val="CharStyle15"/>
                <w:sz w:val="20"/>
                <w:szCs w:val="20"/>
              </w:rPr>
              <w:t xml:space="preserve">"О противодействии терроризму"), действующего на момент подачи заявки на участие в аукционе с приложением списка номерного учета оружия с указанием вида, модели, калибра, серии, номера каждой единицы оружия, разрешенного к хранению и использованию (статья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4 </w:t>
            </w:r>
            <w:r>
              <w:rPr>
                <w:rStyle w:val="CharStyle15"/>
                <w:sz w:val="20"/>
                <w:szCs w:val="20"/>
              </w:rPr>
              <w:t xml:space="preserve">и часть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5"/>
                <w:sz w:val="20"/>
                <w:szCs w:val="20"/>
              </w:rPr>
              <w:t xml:space="preserve">статьи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22 </w:t>
            </w:r>
            <w:r>
              <w:rPr>
                <w:rStyle w:val="CharStyle15"/>
                <w:sz w:val="20"/>
                <w:szCs w:val="20"/>
              </w:rPr>
              <w:t xml:space="preserve">Федерального закона от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13 </w:t>
            </w:r>
            <w:r>
              <w:rPr>
                <w:rStyle w:val="CharStyle15"/>
                <w:sz w:val="20"/>
                <w:szCs w:val="20"/>
              </w:rPr>
              <w:t xml:space="preserve">декабря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1996 </w:t>
            </w:r>
            <w:r>
              <w:rPr>
                <w:rStyle w:val="CharStyle15"/>
                <w:sz w:val="20"/>
                <w:szCs w:val="20"/>
              </w:rPr>
              <w:t xml:space="preserve">г.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15"/>
                <w:sz w:val="20"/>
                <w:szCs w:val="20"/>
              </w:rPr>
              <w:t xml:space="preserve">150-ФЗ «Об оружии», пункт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54 </w:t>
            </w:r>
            <w:r>
              <w:rPr>
                <w:rStyle w:val="CharStyle15"/>
                <w:sz w:val="20"/>
                <w:szCs w:val="20"/>
              </w:rPr>
              <w:t xml:space="preserve">Правил оборота гражданского и служебного оружия и патронов к нему на территории Российской Федерации, утвержденных Постановлением Правительства Российской Федерации от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21 </w:t>
            </w:r>
            <w:r>
              <w:rPr>
                <w:rStyle w:val="CharStyle15"/>
                <w:sz w:val="20"/>
                <w:szCs w:val="20"/>
              </w:rPr>
              <w:t xml:space="preserve">июля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1998 </w:t>
            </w:r>
            <w:r>
              <w:rPr>
                <w:rStyle w:val="CharStyle15"/>
                <w:sz w:val="20"/>
                <w:szCs w:val="20"/>
              </w:rPr>
              <w:t xml:space="preserve">г. </w:t>
            </w:r>
            <w:r>
              <w:rPr>
                <w:rStyle w:val="CharStyle15"/>
                <w:sz w:val="20"/>
                <w:szCs w:val="20"/>
                <w:lang w:val="en-US" w:eastAsia="en-US"/>
              </w:rPr>
              <w:t xml:space="preserve">№ 814 </w:t>
            </w:r>
            <w:r>
              <w:rPr>
                <w:rStyle w:val="CharStyle15"/>
                <w:sz w:val="20"/>
                <w:szCs w:val="20"/>
              </w:rPr>
              <w:t>«О мерах по регулированию оборота гражданского и служебного оружия и патронов к нему на территории Российской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88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7160895</wp:posOffset>
                </wp:positionH>
                <wp:positionV relativeFrom="paragraph">
                  <wp:posOffset>12700</wp:posOffset>
                </wp:positionV>
                <wp:extent cx="67310" cy="21971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color w:val="000000"/>
                                <w:lang w:val="en-US" w:eastAsia="en-US"/>
                              </w:rPr>
                              <w:t>]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3.85000000000002pt;margin-top:1.pt;width:5.2999999999999998pt;height:17.30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color w:val="000000"/>
                          <w:lang w:val="en-US" w:eastAsia="en-US"/>
                        </w:rPr>
                        <w:t>]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"/>
          <w:color w:val="000000"/>
          <w:lang w:val="en-US" w:eastAsia="en-US"/>
        </w:rPr>
        <w:t xml:space="preserve">] </w:t>
      </w:r>
      <w:r>
        <w:rPr>
          <w:rStyle w:val="CharStyle3"/>
          <w:color w:val="000000"/>
          <w:u w:val="single"/>
        </w:rPr>
        <w:t>Федерации»).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Относительно первого и третьего довода жалобы Комиссия Управления поясняет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Согласно части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В соответствии со статьей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Закона Российской Федерации от </w:t>
      </w:r>
      <w:r>
        <w:rPr>
          <w:rStyle w:val="CharStyle7"/>
          <w:lang w:val="en-US" w:eastAsia="en-US"/>
        </w:rPr>
        <w:t xml:space="preserve">11.03.1992 № 2487-1 </w:t>
      </w:r>
      <w:r>
        <w:rPr>
          <w:rStyle w:val="CharStyle7"/>
        </w:rPr>
        <w:t xml:space="preserve">(ред. от </w:t>
      </w:r>
      <w:r>
        <w:rPr>
          <w:rStyle w:val="CharStyle7"/>
          <w:lang w:val="en-US" w:eastAsia="en-US"/>
        </w:rPr>
        <w:t xml:space="preserve">21.04.2025) </w:t>
      </w:r>
      <w:r>
        <w:rPr>
          <w:rStyle w:val="CharStyle7"/>
        </w:rPr>
        <w:t xml:space="preserve">«О частной детективной и охранной деятельности в Российской Федерации»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Закон об охранной деятельности) существует только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>(семь) видов оказания охранных услуг и их перечень, расширенному толкованию не подлежит.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Видами охранных услуг в соответствии со статьей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Закона об охранной деятельности 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защита жизни и здоровья граждан;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>настоящей части;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8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консультирование и подготовка рекомендаций клиентам по вопросам правомерной защиты от противоправных посягательств;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4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обеспечение порядка в местах проведения массовых мероприятий;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обеспечение внутриобъектового и пропускного режимов на объектах, за исключением объектов, предусмотренных пунктом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>настоящей части;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</w:t>
      </w:r>
      <w:r>
        <w:rPr>
          <w:rStyle w:val="CharStyle7"/>
          <w:lang w:val="en-US" w:eastAsia="en-US"/>
        </w:rPr>
        <w:t xml:space="preserve">11 </w:t>
      </w:r>
      <w:r>
        <w:rPr>
          <w:rStyle w:val="CharStyle7"/>
        </w:rPr>
        <w:t>настоящего Закона.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Каждый из вышеперечисленных видов охранных услуг в соответствии с положением о лицензировании утвержденным Постановлением Правительства РФ от </w:t>
      </w:r>
      <w:r>
        <w:rPr>
          <w:rStyle w:val="CharStyle7"/>
          <w:lang w:val="en-US" w:eastAsia="en-US"/>
        </w:rPr>
        <w:t xml:space="preserve">23.06.2011 N 498 </w:t>
      </w:r>
      <w:r>
        <w:rPr>
          <w:rStyle w:val="CharStyle7"/>
        </w:rPr>
        <w:t>имеет лицензионные требования отдельно определенные для каждого вида охранных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Согласно пункту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>Положения о лицензировании Для получения лицензии с правом оказания охранных услуг по охране объектов и (или) имущества на объектах с осуществлением работ по проектированию, монтажу и эксплуатационному обслуживанию технических средств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охраны и (или) принятием соответствующих мер реагирования на их сигнальную информацию дополнительно к документам, предусмотренным пунктом </w:t>
      </w:r>
      <w:r>
        <w:rPr>
          <w:rStyle w:val="CharStyle7"/>
          <w:lang w:val="en-US" w:eastAsia="en-US"/>
        </w:rPr>
        <w:t xml:space="preserve">11 </w:t>
      </w:r>
      <w:r>
        <w:rPr>
          <w:rStyle w:val="CharStyle7"/>
        </w:rPr>
        <w:t>настоящего Положения, руководитель соискателя лицензии представляет в лицензирующий орган: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копию штатного расписания, в котором предусмотрены дежурное подразделение с круглосуточным режимом работы и должность специалиста по обслуживанию технических средств охраны;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копии документов, подтверждающих наличие у соискателя лицензии собственных либо арендованных средств связи;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копии разрешения на использование радиочастот, выданного уполномоченным органом, либо договора об оказании услуг связи, заключенного с юридическим лицом или индивидуальным предпринимателем, оказывающим услуги связи на основании соответствующей лицензии;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2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копии документов, подтверждающих наличие у соискателя лицензии пассивных средств защиты;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копии документов, подтверждающих наличие у соискателя лицензии собственных либо арендованных транспортных средств;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копию заключения о согласовании схемы (описания) расположения на транспортных средствах частной охранной организации специальной раскраски, информационных надписей и знаков в случае использования транспортных средств, имеющих специальную раскраску, информационные надписи и знаки;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64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заверенные в установленном порядке копии документов, подтверждающих стаж работы работников по монтажу технических средств охраны и пусконаладочным работам;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утратил силу с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марта </w:t>
      </w:r>
      <w:r>
        <w:rPr>
          <w:rStyle w:val="CharStyle7"/>
          <w:lang w:val="en-US" w:eastAsia="en-US"/>
        </w:rPr>
        <w:t xml:space="preserve">2022 </w:t>
      </w:r>
      <w:r>
        <w:rPr>
          <w:rStyle w:val="CharStyle7"/>
        </w:rPr>
        <w:t xml:space="preserve">года.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Постановление Правительства РФ от </w:t>
      </w:r>
      <w:r>
        <w:rPr>
          <w:rStyle w:val="CharStyle7"/>
          <w:lang w:val="en-US" w:eastAsia="en-US"/>
        </w:rPr>
        <w:t>05.02.2022 N 118.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Согласно пункту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Положения о лицензировании Для получения лицензии на право оказания охранных услуг по охране объектов и (или) имущества, а также по обеспечению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руководитель соискателя лицензии представляет в лицензирующий орган предусмотренные пунктами </w:t>
      </w:r>
      <w:r>
        <w:rPr>
          <w:rStyle w:val="CharStyle7"/>
          <w:lang w:val="en-US" w:eastAsia="en-US"/>
        </w:rPr>
        <w:t xml:space="preserve">11 — 13 </w:t>
      </w:r>
      <w:r>
        <w:rPr>
          <w:rStyle w:val="CharStyle7"/>
        </w:rPr>
        <w:t>настоящего Положения документы.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Из вышесказанного следует, что для получения лицензии на оказание охранных услуг, соискателю требуется исполнить лицензионные требование в том в числе по наличию у него дежурного подразделения с круглосуточным режимом работы. Такого понятия как дежурная часть законодательство в сфере частной охранной деятельности не устанавливает.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Однако лицензионными требованиями устанавливается только обязательное наличие дежурного подразделения без привязки его к определенному населенному пункту в котором охранная организация оказывает охранные услуги.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Это обусловлено тем, что функции, которые поставлены перед дежурным подразделением частной охранной организации, способно исполнить дежурное подразделение, находящаяся в любом населенном пункте.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Функции дежурного подразделения установлены в определении понятия «Дежурное подразделение охранной организации», которое закреплено в ГОСТе Р </w:t>
      </w:r>
      <w:r>
        <w:rPr>
          <w:rStyle w:val="CharStyle7"/>
          <w:lang w:val="en-US" w:eastAsia="en-US"/>
        </w:rPr>
        <w:t xml:space="preserve">59044-2020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01.10.2020.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Такими функциями дежурного подразделения являются: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Организация и контроль за осуществлением охраны объектов;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Контроль за работой мобильных групп охраны (групп быстрого реагирования).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Законодательство в сфере частной охранной деятельности более не возлагает никаких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функций на дежурное подразделение.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Кроме того, Заказчик устанавливает требование, что сотрудники формирующие группу быстрого реагирования должны быть вооружены.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К охранникам на постах такого требования не предъявлено, таким образом, для удовлетворения потребности, требуются два человека в составе ГБР, один из которых будет вооружен служебным оружием в соответствии с нормами обеспечения закрепленными Постановлением Правительства РФ от </w:t>
      </w:r>
      <w:r>
        <w:rPr>
          <w:rStyle w:val="CharStyle7"/>
          <w:lang w:val="en-US" w:eastAsia="en-US"/>
        </w:rPr>
        <w:t xml:space="preserve">14.08.1992 N 587 </w:t>
      </w:r>
      <w:r>
        <w:rPr>
          <w:rStyle w:val="CharStyle7"/>
        </w:rPr>
        <w:t>"Вопросы частной детективной (сыскной) и частной охранной деятельности".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В соответствии с пунктом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N 13 </w:t>
      </w:r>
      <w:r>
        <w:rPr>
          <w:rStyle w:val="CharStyle7"/>
        </w:rPr>
        <w:t xml:space="preserve">к Постановлению Правительства Российской Федерации от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августа </w:t>
      </w:r>
      <w:r>
        <w:rPr>
          <w:rStyle w:val="CharStyle7"/>
          <w:lang w:val="en-US" w:eastAsia="en-US"/>
        </w:rPr>
        <w:t xml:space="preserve">1992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N 587 </w:t>
      </w:r>
      <w:r>
        <w:rPr>
          <w:rStyle w:val="CharStyle7"/>
        </w:rPr>
        <w:t>установлено, что по решению руководителя частной охранной организации огнестрельное оружие и патроны к нему могут выдаваться (передаваться) работникам (работниками) частной охранной организации непосредственно на объекте охраны. При этом документы о приеме и выдаче огнестрельного оружия и патронов к нему ведутся на объекте охраны.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Таким образом организация из другого региона, оказывая охранные услуги Заказчику долж</w:t>
        <w:softHyphen/>
        <w:t>на организовать наличие одной единицы оружия передача которого будет осуществляться на посту от охранника к охраннику.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Однако Заказчик устанавливает требование о том, что охранная организация должна иметь дежурную часть, пульт централизованного наблюдения (ПЦН), комнату хранения оружия и патро</w:t>
        <w:softHyphen/>
        <w:t>нов (КХО) в местах фактического расположения объектов, передаваемых под охрану, а также на</w:t>
        <w:softHyphen/>
        <w:t>личие разрешения и хранения оружия и патронов к нему (РХИ) в одном населенном пункте с ме</w:t>
        <w:softHyphen/>
        <w:t xml:space="preserve">стами нахождения объектов (в городе Когалым Ханты-Мансийского автономного округа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Югре) (ФЗ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35-ФЗ от </w:t>
      </w:r>
      <w:r>
        <w:rPr>
          <w:rStyle w:val="CharStyle7"/>
          <w:lang w:val="en-US" w:eastAsia="en-US"/>
        </w:rPr>
        <w:t xml:space="preserve">06.03.2006 </w:t>
      </w:r>
      <w:r>
        <w:rPr>
          <w:rStyle w:val="CharStyle7"/>
        </w:rPr>
        <w:t>"О противодействии терроризму"), действующего на момент подачи заявки на участие в аукционе с приложением списка номерного учета оружия с указанием вида, модели, калибра, серии, номера каждой единицы оружия, разрешенного к хранению и использова</w:t>
        <w:softHyphen/>
        <w:t xml:space="preserve">нию (статья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 часть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22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13 </w:t>
      </w:r>
      <w:r>
        <w:rPr>
          <w:rStyle w:val="CharStyle7"/>
        </w:rPr>
        <w:t xml:space="preserve">декабря </w:t>
      </w:r>
      <w:r>
        <w:rPr>
          <w:rStyle w:val="CharStyle7"/>
          <w:lang w:val="en-US" w:eastAsia="en-US"/>
        </w:rPr>
        <w:t xml:space="preserve">1996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150-ФЗ «Об ору</w:t>
        <w:softHyphen/>
        <w:t xml:space="preserve">жии», пункт </w:t>
      </w:r>
      <w:r>
        <w:rPr>
          <w:rStyle w:val="CharStyle7"/>
          <w:lang w:val="en-US" w:eastAsia="en-US"/>
        </w:rPr>
        <w:t xml:space="preserve">54 </w:t>
      </w:r>
      <w:r>
        <w:rPr>
          <w:rStyle w:val="CharStyle7"/>
        </w:rPr>
        <w:t>Правил оборота гражданского и служебного оружия и патронов к нему на террито</w:t>
        <w:softHyphen/>
        <w:t>рии Российской Федерации, утвержденных Постановлением Правительства Российской Федера</w:t>
        <w:softHyphen/>
        <w:t xml:space="preserve">ции от </w:t>
      </w:r>
      <w:r>
        <w:rPr>
          <w:rStyle w:val="CharStyle7"/>
          <w:lang w:val="en-US" w:eastAsia="en-US"/>
        </w:rPr>
        <w:t xml:space="preserve">21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1998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814 </w:t>
      </w:r>
      <w:r>
        <w:rPr>
          <w:rStyle w:val="CharStyle7"/>
        </w:rPr>
        <w:t>«О мерах по регулированию оборота гражданского и служебного оружия и патронов к нему на территории Российской Федерации»)</w:t>
      </w:r>
      <w:r>
        <w:rPr>
          <w:rStyle w:val="CharStyle7"/>
          <w:lang w:val="en-US" w:eastAsia="en-US"/>
        </w:rPr>
        <w:t>..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Комиссия Управления отмечает, что требования оснащенности и укрепленности согласно Постановления Правительства РФ от </w:t>
      </w:r>
      <w:r>
        <w:rPr>
          <w:rStyle w:val="CharStyle7"/>
          <w:lang w:val="en-US" w:eastAsia="en-US"/>
        </w:rPr>
        <w:t xml:space="preserve">21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1998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N 814 </w:t>
      </w:r>
      <w:r>
        <w:rPr>
          <w:rStyle w:val="CharStyle7"/>
        </w:rPr>
        <w:t>не применимо в данных правоотноше</w:t>
        <w:softHyphen/>
        <w:t>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7"/>
        </w:rPr>
        <w:t>Таким образом, Комиссия Управления приходит к выводу, что указанные доводы Заявителя являются 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Относительно второго довода жалобы Комиссия Управления поясняет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Согласно пункту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left"/>
      </w:pPr>
      <w:r>
        <w:rPr>
          <w:rStyle w:val="CharStyle7"/>
        </w:rPr>
        <w:t xml:space="preserve">Патрульный автотранспорт, оборудованный специальным, светозвуковым оборудованием и специальной раскраской и/или наклейками, позволяющими определить принадлежность к Исполнителю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это потребность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Данная потребность Заказчика не обязывает устанавливать на автомобили ГБР световые и звуковые сигналы без разрешения, а требует наличие транспорта, визуально идентифицируемого как служебного.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Кроме того, данные требования являются распространенными требованиями в деятельности частных охранных организаций и не могут свидетельствовать об установке преимущества одного лица перед другим.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left"/>
      </w:pPr>
      <w:r>
        <w:rPr>
          <w:rStyle w:val="CharStyle7"/>
        </w:rPr>
        <w:t>Таким образом, довод жалобы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 xml:space="preserve">Согласно пункту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22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99 </w:t>
      </w:r>
      <w:r>
        <w:rPr>
          <w:rStyle w:val="CharStyle7"/>
        </w:rPr>
        <w:t>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7"/>
        </w:rPr>
        <w:t>На основании вышеизложенного, Комиссия Управления решила выдать обязательное для исполнения предписание.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7"/>
        </w:rPr>
        <w:t>Жалоба ООО ЧОП «Орден» (ИНН: 8604042738</w:t>
      </w:r>
      <w:r>
        <w:rPr>
          <w:rStyle w:val="CharStyle7"/>
          <w:rFonts w:ascii="Arial" w:eastAsia="Arial" w:hAnsi="Arial" w:cs="Arial"/>
          <w:color w:val="555555"/>
          <w:sz w:val="22"/>
          <w:szCs w:val="22"/>
        </w:rPr>
        <w:t xml:space="preserve">) </w:t>
      </w:r>
      <w:r>
        <w:rPr>
          <w:rStyle w:val="CharStyle7"/>
        </w:rPr>
        <w:t>№ 9568/25 от 03.09.2025 г. рассмотрена Комиссией Управления в соответствии с требованиями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rStyle w:val="CharStyle7"/>
        </w:rPr>
        <w:t>Рассмотрев материалы дела, изучив представленные документы представителей сторон, руководствуясь положениями статей 99, 106 Закона о контрактной системе, Комиссия Управления,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4" w:name="bookmark4"/>
      <w:r>
        <w:rPr>
          <w:rStyle w:val="CharStyle20"/>
          <w:b/>
          <w:bCs/>
        </w:rPr>
        <w:t>РЕШИЛА:</w:t>
      </w:r>
      <w:bookmarkEnd w:id="4"/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Признать жалобу ООО ЧОП «Орден» (ИНН: 8604042738</w:t>
      </w:r>
      <w:r>
        <w:rPr>
          <w:rStyle w:val="CharStyle7"/>
          <w:rFonts w:ascii="Arial" w:eastAsia="Arial" w:hAnsi="Arial" w:cs="Arial"/>
          <w:color w:val="555555"/>
          <w:sz w:val="22"/>
          <w:szCs w:val="22"/>
        </w:rPr>
        <w:t xml:space="preserve">) </w:t>
      </w:r>
      <w:r>
        <w:rPr>
          <w:rStyle w:val="CharStyle7"/>
        </w:rPr>
        <w:t>№ 9568/25 от 03.09.2025 г., на действия Заказчика - Бюджетное учреждение Ханты-Мансийского автономного округа — Югры «Когалымский комплексный центр социального обслуживания населения», при проведении закупки в форме электронного аукциона, объектом которой является — оказание услуг по физической (круглосуточной) охране объектов (извещение № 0387200010825000018) частично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738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Первый довод обоснованный.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738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Второй довод необоснованный.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738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Третий довод обоснованный.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71" w:val="left"/>
        </w:tabs>
        <w:bidi w:val="0"/>
        <w:spacing w:before="0" w:after="280"/>
        <w:ind w:left="0" w:right="0" w:firstLine="740"/>
        <w:jc w:val="both"/>
      </w:pPr>
      <w:r>
        <w:rPr>
          <w:rStyle w:val="CharStyle7"/>
        </w:rPr>
        <w:t xml:space="preserve">Признать в действиях Заказчика - ББюджетное учреждение Ханты-Мансийского автономного округа — Югры «Когалымский комплексный центр социального обслуживания населения» нарушение положений части 3 статьи 33 Федерального закона от 05.04.2013 </w:t>
      </w:r>
      <w:r>
        <w:rPr>
          <w:rStyle w:val="CharStyle7"/>
          <w:lang w:val="en-US" w:eastAsia="en-US"/>
        </w:rPr>
        <w:t xml:space="preserve">N </w:t>
      </w:r>
      <w:r>
        <w:rPr>
          <w:rStyle w:val="CharStyle7"/>
        </w:rPr>
        <w:t>44-ФЗ «О контрактной системе в сфере закупок товаров, работ, услуг для обеспечения государственных и муниципальных нужд»</w:t>
      </w:r>
      <w:r>
        <w:br w:type="page"/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90" w:val="left"/>
        </w:tabs>
        <w:bidi w:val="0"/>
        <w:spacing w:before="0" w:after="0"/>
        <w:ind w:left="0" w:right="0" w:firstLine="720"/>
        <w:jc w:val="left"/>
      </w:pPr>
      <w:r>
        <w:rPr>
          <w:rStyle w:val="CharStyle7"/>
        </w:rPr>
        <w:t>Выдать обязательное для исполнения предписание.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40"/>
        <w:jc w:val="both"/>
      </w:pPr>
      <w:r>
        <w:rPr>
          <w:rStyle w:val="CharStyle7"/>
        </w:rPr>
        <w:t>Передать уполномоченному должностному лицу Ханты-Мансийского УФАС России материалы дела для рассмотрения вопроса о привлечении должностных лиц, допустивших нарушение требований Закона о контрактной системе, к административной ответственности.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98" w:val="left"/>
        </w:tabs>
        <w:bidi w:val="0"/>
        <w:spacing w:before="0" w:after="900"/>
        <w:ind w:left="0" w:right="0" w:firstLine="740"/>
        <w:jc w:val="both"/>
      </w:pPr>
      <w:r>
        <w:rPr>
          <w:rStyle w:val="CharStyle7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rPr>
          <w:rStyle w:val="CharStyle7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7"/>
          <w:lang w:val="en-US" w:eastAsia="en-US"/>
        </w:rPr>
        <w:t>www.zakupki.gov.ru</w:t>
      </w:r>
      <w:r>
        <w:fldChar w:fldCharType="end"/>
      </w:r>
      <w:r>
        <w:rPr>
          <w:rStyle w:val="CharStyle7"/>
          <w:lang w:val="en-US" w:eastAsia="en-US"/>
        </w:rPr>
        <w:t>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804545" distL="114300" distR="242570" simplePos="0" relativeHeight="125829386" behindDoc="0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12700</wp:posOffset>
                </wp:positionV>
                <wp:extent cx="987425" cy="216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8.55000000000001pt;margin-top:1.pt;width:77.75pt;height:17.050000000000001pt;z-index:-125829367;mso-wrap-distance-left:9.pt;mso-wrap-distance-right:19.100000000000001pt;mso-wrap-distance-bottom:63.3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804545" distB="0" distL="114300" distR="114300" simplePos="0" relativeHeight="125829388" behindDoc="0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817245</wp:posOffset>
                </wp:positionV>
                <wp:extent cx="1115695" cy="21653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Е.А. Иванчикова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8.55000000000001pt;margin-top:64.349999999999994pt;width:87.850000000000009pt;height:17.050000000000001pt;z-index:-125829365;mso-wrap-distance-left:9.pt;mso-wrap-distance-top:63.3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Е.А. Иванчикова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7"/>
        </w:rPr>
        <w:t>Председатель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400" w:firstLine="0"/>
        <w:jc w:val="right"/>
      </w:pPr>
      <w:r>
        <w:rPr>
          <w:rStyle w:val="CharStyle7"/>
        </w:rPr>
        <w:t>А.В. Шаврин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left"/>
      </w:pPr>
      <w:r>
        <w:rPr>
          <w:rStyle w:val="CharStyle22"/>
          <w:i/>
          <w:iCs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012" w:right="541" w:bottom="1190" w:left="1101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10001250</wp:posOffset>
              </wp:positionV>
              <wp:extent cx="658495" cy="12827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2025-7135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600000000000001pt;margin-top:787.5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2025-7135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715645</wp:posOffset>
              </wp:positionH>
              <wp:positionV relativeFrom="page">
                <wp:posOffset>10001250</wp:posOffset>
              </wp:positionV>
              <wp:extent cx="658495" cy="12827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2025-7135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350000000000001pt;margin-top:787.5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2025-7135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0"/>
      <w:sz w:val="20"/>
      <w:szCs w:val="20"/>
      <w:u w:val="none"/>
    </w:rPr>
  </w:style>
  <w:style w:type="character" w:customStyle="1" w:styleId="CharStyle5">
    <w:name w:val="Body text (4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6"/>
      <w:szCs w:val="16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Other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Heading #2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2">
    <w:name w:val="Body text (3)_"/>
    <w:basedOn w:val="DefaultParagraphFont"/>
    <w:link w:val="Style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0"/>
      <w:sz w:val="20"/>
      <w:szCs w:val="20"/>
      <w:u w:val="none"/>
    </w:rPr>
  </w:style>
  <w:style w:type="paragraph" w:customStyle="1" w:styleId="Style4">
    <w:name w:val="Body text (4)"/>
    <w:basedOn w:val="Normal"/>
    <w:link w:val="CharStyle5"/>
    <w:pPr>
      <w:widowControl w:val="0"/>
      <w:shd w:val="clear" w:color="auto" w:fill="auto"/>
      <w:spacing w:after="70" w:line="288" w:lineRule="auto"/>
      <w:ind w:firstLine="1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6"/>
      <w:szCs w:val="16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Other"/>
    <w:basedOn w:val="Normal"/>
    <w:link w:val="CharStyle15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Heading #2"/>
    <w:basedOn w:val="Normal"/>
    <w:link w:val="CharStyle20"/>
    <w:pPr>
      <w:widowControl w:val="0"/>
      <w:shd w:val="clear" w:color="auto" w:fill="auto"/>
      <w:spacing w:after="280" w:line="276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1">
    <w:name w:val="Body text (3)"/>
    <w:basedOn w:val="Normal"/>
    <w:link w:val="CharStyle22"/>
    <w:pPr>
      <w:widowControl w:val="0"/>
      <w:shd w:val="clear" w:color="auto" w:fill="auto"/>
      <w:spacing w:line="276" w:lineRule="auto"/>
      <w:ind w:firstLine="74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