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3589655</wp:posOffset>
            </wp:positionH>
            <wp:positionV relativeFrom="paragraph">
              <wp:posOffset>137160</wp:posOffset>
            </wp:positionV>
            <wp:extent cx="579120" cy="652145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79120" cy="65214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  <w:b/>
          <w:bCs/>
        </w:rPr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  <w:b/>
          <w:bCs/>
        </w:rPr>
        <w:t>УПРАВЛЕНИЕ</w:t>
        <w:br/>
        <w:t>Федеральной антимонопольной</w:t>
        <w:br/>
        <w:t>службы</w:t>
        <w:br/>
        <w:t>по Республике Татарстан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5"/>
        </w:rPr>
        <w:t>ул. Московская, д. 55, г. Казань, 420021</w:t>
        <w:br/>
        <w:t>тел.: (843) 236-89-22, факс (843) 238-19-46</w:t>
        <w:br/>
      </w:r>
      <w:r>
        <w:rPr>
          <w:rStyle w:val="CharStyle5"/>
          <w:lang w:val="en-US" w:eastAsia="en-US"/>
        </w:rPr>
        <w:t xml:space="preserve">e-mail: to </w:t>
      </w:r>
      <w:r>
        <w:fldChar w:fldCharType="begin"/>
      </w:r>
      <w:r>
        <w:rPr/>
        <w:instrText> HYPERLINK "mailto:16@fas.gov.ru" </w:instrText>
      </w:r>
      <w:r>
        <w:fldChar w:fldCharType="separate"/>
      </w:r>
      <w:r>
        <w:rPr>
          <w:rStyle w:val="CharStyle5"/>
        </w:rPr>
        <w:t>16@</w:t>
      </w:r>
      <w:r>
        <w:rPr>
          <w:rStyle w:val="CharStyle5"/>
          <w:lang w:val="en-US" w:eastAsia="en-US"/>
        </w:rPr>
        <w:t>fas.gov.ru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  <w:b/>
          <w:bCs/>
        </w:rPr>
        <w:t>МОНОПОЛИЯМ КАРШЫ</w:t>
        <w:br/>
        <w:t>ФЕДЕРАЛЬ ХЕЗМЭТ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  <w:b/>
          <w:bCs/>
        </w:rPr>
        <w:t>Монополиягэ каршы</w:t>
        <w:br/>
        <w:t>Федераль хезмэтнец</w:t>
        <w:br/>
        <w:t>Татарстан Республикасы</w:t>
        <w:br/>
        <w:t>буенча идарэсе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1900" w:h="16840"/>
          <w:pgMar w:top="1033" w:right="1351" w:bottom="1125" w:left="1208" w:header="605" w:footer="697" w:gutter="0"/>
          <w:pgNumType w:start="1"/>
          <w:cols w:num="2" w:space="720" w:equalWidth="0">
            <w:col w:w="3706" w:space="2429"/>
            <w:col w:w="3206"/>
          </w:cols>
          <w:noEndnote/>
          <w:rtlGutter w:val="0"/>
          <w:docGrid w:linePitch="360"/>
        </w:sectPr>
      </w:pPr>
      <w:r>
        <w:rPr>
          <w:rStyle w:val="CharStyle5"/>
        </w:rPr>
        <w:t xml:space="preserve">Москоу ур., </w:t>
      </w:r>
      <w:r>
        <w:rPr>
          <w:rStyle w:val="CharStyle5"/>
          <w:color w:val="334B76"/>
        </w:rPr>
        <w:t xml:space="preserve">55 </w:t>
      </w:r>
      <w:r>
        <w:rPr>
          <w:rStyle w:val="CharStyle5"/>
        </w:rPr>
        <w:t>йорт. Казан шэЬэре, 420021</w:t>
        <w:br/>
        <w:t>тел.: (843) 236-89-22, факс (843) 238-19-46</w:t>
        <w:br/>
      </w:r>
      <w:r>
        <w:rPr>
          <w:rStyle w:val="CharStyle5"/>
          <w:lang w:val="en-US" w:eastAsia="en-US"/>
        </w:rPr>
        <w:t xml:space="preserve">e-mail: </w:t>
      </w:r>
      <w:r>
        <w:fldChar w:fldCharType="begin"/>
      </w:r>
      <w:r>
        <w:rPr/>
        <w:instrText> HYPERLINK "mailto:tol6@fas.gov.ru" </w:instrText>
      </w:r>
      <w:r>
        <w:fldChar w:fldCharType="separate"/>
      </w:r>
      <w:r>
        <w:rPr>
          <w:rStyle w:val="CharStyle5"/>
          <w:lang w:val="en-US" w:eastAsia="en-US"/>
        </w:rPr>
        <w:t>tol6@fas.gov.ru</w:t>
      </w:r>
      <w:r>
        <w:fldChar w:fldCharType="end"/>
      </w:r>
    </w:p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3" w:right="0" w:bottom="103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7"/>
        <w:keepNext w:val="0"/>
        <w:keepLines w:val="0"/>
        <w:framePr w:w="4090" w:h="629" w:wrap="none" w:vAnchor="text" w:hAnchor="page" w:x="111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22"/>
          <w:szCs w:val="22"/>
        </w:rPr>
      </w:pPr>
      <w:r>
        <w:rPr>
          <w:rStyle w:val="CharStyle8"/>
          <w:smallCaps/>
        </w:rPr>
        <w:t>MjO$MZ</w:t>
      </w:r>
      <w:r>
        <w:rPr>
          <w:rStyle w:val="CharStyle8"/>
          <w:rFonts w:ascii="Times New Roman" w:eastAsia="Times New Roman" w:hAnsi="Times New Roman" w:cs="Times New Roman"/>
          <w:sz w:val="22"/>
          <w:szCs w:val="22"/>
          <w:u w:val="none"/>
        </w:rPr>
        <w:t xml:space="preserve"> </w:t>
      </w:r>
      <w:r>
        <w:rPr>
          <w:rStyle w:val="CharStyle8"/>
          <w:rFonts w:ascii="Times New Roman" w:eastAsia="Times New Roman" w:hAnsi="Times New Roman" w:cs="Times New Roman"/>
          <w:sz w:val="22"/>
          <w:szCs w:val="22"/>
          <w:u w:val="none"/>
          <w:lang w:val="ru-RU" w:eastAsia="ru-RU"/>
        </w:rPr>
        <w:t xml:space="preserve">№ </w:t>
      </w:r>
      <w:r>
        <w:rPr>
          <w:rStyle w:val="CharStyle8"/>
          <w:rFonts w:ascii="Times New Roman" w:eastAsia="Times New Roman" w:hAnsi="Times New Roman" w:cs="Times New Roman"/>
          <w:sz w:val="22"/>
          <w:szCs w:val="22"/>
          <w:lang w:val="ru-RU" w:eastAsia="ru-RU"/>
        </w:rPr>
        <w:t>?ц!#^</w:t>
      </w:r>
    </w:p>
    <w:p>
      <w:pPr>
        <w:pStyle w:val="Style2"/>
        <w:keepNext w:val="0"/>
        <w:keepLines w:val="0"/>
        <w:framePr w:w="3998" w:h="293" w:wrap="none" w:vAnchor="text" w:hAnchor="page" w:x="1103" w:y="779"/>
        <w:widowControl w:val="0"/>
        <w:shd w:val="clear" w:color="auto" w:fill="auto"/>
        <w:tabs>
          <w:tab w:pos="1877" w:val="left"/>
        </w:tabs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sz w:val="22"/>
          <w:szCs w:val="22"/>
        </w:rPr>
        <w:t xml:space="preserve">На </w:t>
      </w:r>
      <w:r>
        <w:rPr>
          <w:rStyle w:val="CharStyle3"/>
          <w:color w:val="5D6897"/>
          <w:sz w:val="22"/>
          <w:szCs w:val="22"/>
        </w:rPr>
        <w:t>№</w:t>
        <w:tab/>
      </w:r>
      <w:r>
        <w:rPr>
          <w:rStyle w:val="CharStyle3"/>
          <w:sz w:val="22"/>
          <w:szCs w:val="22"/>
        </w:rPr>
        <w:t>от</w:t>
      </w:r>
    </w:p>
    <w:p>
      <w:pPr>
        <w:pStyle w:val="Style13"/>
        <w:keepNext w:val="0"/>
        <w:keepLines w:val="0"/>
        <w:framePr w:w="5030" w:h="1978" w:wrap="none" w:vAnchor="text" w:hAnchor="page" w:x="6081" w:y="1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Уполномоченный орган:</w:t>
      </w:r>
    </w:p>
    <w:p>
      <w:pPr>
        <w:pStyle w:val="Style13"/>
        <w:keepNext w:val="0"/>
        <w:keepLines w:val="0"/>
        <w:framePr w:w="5030" w:h="1978" w:wrap="none" w:vAnchor="text" w:hAnchor="page" w:x="6081" w:y="1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МКУ «ИСПОЛНИТЕЛЬНЫЙ КОМИТЕТ</w:t>
      </w:r>
    </w:p>
    <w:p>
      <w:pPr>
        <w:pStyle w:val="Style13"/>
        <w:keepNext w:val="0"/>
        <w:keepLines w:val="0"/>
        <w:framePr w:w="5030" w:h="1978" w:wrap="none" w:vAnchor="text" w:hAnchor="page" w:x="6081" w:y="1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НИЖНЕКАМСКОГО</w:t>
      </w:r>
    </w:p>
    <w:p>
      <w:pPr>
        <w:pStyle w:val="Style13"/>
        <w:keepNext w:val="0"/>
        <w:keepLines w:val="0"/>
        <w:framePr w:w="5030" w:h="1978" w:wrap="none" w:vAnchor="text" w:hAnchor="page" w:x="6081" w:y="1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 xml:space="preserve">МУНИЦИПАЛЬНОГО РАЙОНА» </w:t>
      </w:r>
      <w:r>
        <w:fldChar w:fldCharType="begin"/>
      </w:r>
      <w:r>
        <w:rPr/>
        <w:instrText> HYPERLINK "mailto:obu-nk@mail.ru" </w:instrText>
      </w:r>
      <w:r>
        <w:fldChar w:fldCharType="separate"/>
      </w:r>
      <w:r>
        <w:rPr>
          <w:rStyle w:val="CharStyle14"/>
          <w:u w:val="single"/>
          <w:lang w:val="en-US" w:eastAsia="en-US"/>
        </w:rPr>
        <w:t>obu-nk@mail.ru</w:t>
      </w:r>
      <w:r>
        <w:fldChar w:fldCharType="end"/>
      </w:r>
    </w:p>
    <w:p>
      <w:pPr>
        <w:pStyle w:val="Style13"/>
        <w:keepNext w:val="0"/>
        <w:keepLines w:val="0"/>
        <w:framePr w:w="5030" w:h="1978" w:wrap="none" w:vAnchor="text" w:hAnchor="page" w:x="6081" w:y="1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fldChar w:fldCharType="begin"/>
      </w:r>
      <w:r>
        <w:rPr/>
        <w:instrText> HYPERLINK "mailto:omz214@mail.ru" </w:instrText>
      </w:r>
      <w:r>
        <w:fldChar w:fldCharType="separate"/>
      </w:r>
      <w:r>
        <w:rPr>
          <w:rStyle w:val="CharStyle14"/>
          <w:lang w:val="en-US" w:eastAsia="en-US"/>
        </w:rPr>
        <w:t>omz214@mail.ru</w:t>
      </w:r>
      <w:r>
        <w:fldChar w:fldCharType="end"/>
      </w:r>
    </w:p>
    <w:p>
      <w:pPr>
        <w:pStyle w:val="Style13"/>
        <w:keepNext w:val="0"/>
        <w:keepLines w:val="0"/>
        <w:framePr w:w="4541" w:h="2616" w:wrap="none" w:vAnchor="text" w:hAnchor="page" w:x="6071" w:y="23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Заказчик:</w:t>
      </w:r>
    </w:p>
    <w:p>
      <w:pPr>
        <w:pStyle w:val="Style13"/>
        <w:keepNext w:val="0"/>
        <w:keepLines w:val="0"/>
        <w:framePr w:w="4541" w:h="2616" w:wrap="none" w:vAnchor="text" w:hAnchor="page" w:x="6071" w:y="2377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rStyle w:val="CharStyle14"/>
        </w:rPr>
        <w:t xml:space="preserve">МБУ «КУЛЬТУРНО-СПОРТИВНЫЙ КОМПЛЕКС «ИЛЬИНКА» </w:t>
      </w:r>
      <w:r>
        <w:fldChar w:fldCharType="begin"/>
      </w:r>
      <w:r>
        <w:rPr/>
        <w:instrText> HYPERLINK "mailto:druzhba_2024@mail.ru" </w:instrText>
      </w:r>
      <w:r>
        <w:fldChar w:fldCharType="separate"/>
      </w:r>
      <w:r>
        <w:rPr>
          <w:rStyle w:val="CharStyle14"/>
          <w:u w:val="single"/>
          <w:lang w:val="en-US" w:eastAsia="en-US"/>
        </w:rPr>
        <w:t>druzhba 2024@mail.ru</w:t>
      </w:r>
      <w:r>
        <w:fldChar w:fldCharType="end"/>
      </w:r>
    </w:p>
    <w:p>
      <w:pPr>
        <w:pStyle w:val="Style13"/>
        <w:keepNext w:val="0"/>
        <w:keepLines w:val="0"/>
        <w:framePr w:w="4541" w:h="2616" w:wrap="none" w:vAnchor="text" w:hAnchor="page" w:x="6071" w:y="23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Заявитель:</w:t>
      </w:r>
    </w:p>
    <w:p>
      <w:pPr>
        <w:pStyle w:val="Style13"/>
        <w:keepNext w:val="0"/>
        <w:keepLines w:val="0"/>
        <w:framePr w:w="4541" w:h="2616" w:wrap="none" w:vAnchor="text" w:hAnchor="page" w:x="6071" w:y="2377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rStyle w:val="CharStyle14"/>
        </w:rPr>
        <w:t xml:space="preserve">ООО «АЛТИ ГРУПП» </w:t>
      </w:r>
      <w:r>
        <w:fldChar w:fldCharType="begin"/>
      </w:r>
      <w:r>
        <w:rPr/>
        <w:instrText> HYPERLINK "mailto:info@alti-group.ru" </w:instrText>
      </w:r>
      <w:r>
        <w:fldChar w:fldCharType="separate"/>
      </w:r>
      <w:r>
        <w:rPr>
          <w:rStyle w:val="CharStyle14"/>
          <w:u w:val="single"/>
          <w:lang w:val="en-US" w:eastAsia="en-US"/>
        </w:rPr>
        <w:t>info@alti-group.ru</w:t>
      </w:r>
      <w:r>
        <w:fldChar w:fldCharType="end"/>
      </w:r>
    </w:p>
    <w:p>
      <w:pPr>
        <w:pStyle w:val="Style13"/>
        <w:keepNext w:val="0"/>
        <w:keepLines w:val="0"/>
        <w:framePr w:w="8818" w:h="994" w:wrap="none" w:vAnchor="text" w:hAnchor="page" w:x="1708" w:y="56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  <w:b/>
          <w:bCs/>
        </w:rPr>
        <w:t>Решение по делу № 016/06/33-1313/2025</w:t>
        <w:br/>
        <w:t>о нарушении законодательства в сфере закупок товаров, работ, услуг</w:t>
        <w:br/>
        <w:t>для обеспечения государственных и муниципальных нужд</w:t>
      </w:r>
    </w:p>
    <w:p>
      <w:pPr>
        <w:pStyle w:val="Style13"/>
        <w:keepNext w:val="0"/>
        <w:keepLines w:val="0"/>
        <w:framePr w:w="2707" w:h="350" w:wrap="none" w:vAnchor="text" w:hAnchor="page" w:x="969" w:y="72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08 сентября 2025 года</w:t>
      </w:r>
    </w:p>
    <w:p>
      <w:pPr>
        <w:pStyle w:val="Style13"/>
        <w:keepNext w:val="0"/>
        <w:keepLines w:val="0"/>
        <w:framePr w:w="1128" w:h="341" w:wrap="none" w:vAnchor="text" w:hAnchor="page" w:x="10046" w:y="72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г. Казань</w:t>
      </w:r>
    </w:p>
    <w:tbl>
      <w:tblPr>
        <w:tblOverlap w:val="never"/>
        <w:jc w:val="left"/>
        <w:tblLayout w:type="fixed"/>
      </w:tblPr>
      <w:tblGrid>
        <w:gridCol w:w="4464"/>
        <w:gridCol w:w="5803"/>
      </w:tblGrid>
      <w:tr>
        <w:trPr>
          <w:trHeight w:val="643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framePr w:w="10267" w:h="1608" w:hSpace="14" w:vSpace="1003" w:wrap="none" w:vAnchor="text" w:hAnchor="page" w:x="945" w:y="88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40"/>
              <w:jc w:val="left"/>
            </w:pPr>
            <w:r>
              <w:rPr>
                <w:rStyle w:val="CharStyle18"/>
              </w:rPr>
              <w:t>Председателя Комиссии: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framePr w:w="10267" w:h="1608" w:hSpace="14" w:vSpace="1003" w:wrap="none" w:vAnchor="text" w:hAnchor="page" w:x="945" w:y="8881"/>
              <w:widowControl w:val="0"/>
              <w:shd w:val="clear" w:color="auto" w:fill="auto"/>
              <w:bidi w:val="0"/>
              <w:spacing w:before="0" w:after="0" w:line="240" w:lineRule="auto"/>
              <w:ind w:left="1620" w:right="0" w:firstLine="0"/>
              <w:jc w:val="left"/>
            </w:pPr>
            <w:r>
              <w:rPr>
                <w:rStyle w:val="CharStyle18"/>
              </w:rPr>
              <w:t>Валиахметова Р.Х. - заместителя руководителя,</w:t>
            </w:r>
          </w:p>
        </w:tc>
      </w:tr>
      <w:tr>
        <w:trPr>
          <w:trHeight w:val="965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7"/>
              <w:keepNext w:val="0"/>
              <w:keepLines w:val="0"/>
              <w:framePr w:w="10267" w:h="1608" w:hSpace="14" w:vSpace="1003" w:wrap="none" w:vAnchor="text" w:hAnchor="page" w:x="945" w:y="888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40"/>
              <w:jc w:val="left"/>
            </w:pPr>
            <w:r>
              <w:rPr>
                <w:rStyle w:val="CharStyle18"/>
              </w:rPr>
              <w:t>Членов Комиссии: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7"/>
              <w:keepNext w:val="0"/>
              <w:keepLines w:val="0"/>
              <w:framePr w:w="10267" w:h="1608" w:hSpace="14" w:vSpace="1003" w:wrap="none" w:vAnchor="text" w:hAnchor="page" w:x="945" w:y="8881"/>
              <w:widowControl w:val="0"/>
              <w:shd w:val="clear" w:color="auto" w:fill="auto"/>
              <w:bidi w:val="0"/>
              <w:spacing w:before="0" w:after="0" w:line="240" w:lineRule="auto"/>
              <w:ind w:left="1620" w:right="0" w:firstLine="0"/>
              <w:jc w:val="left"/>
            </w:pPr>
            <w:r>
              <w:rPr>
                <w:rStyle w:val="CharStyle18"/>
              </w:rPr>
              <w:t>Давыдова И.Ф. - главного специалиста-эксперта, Никитиной И. Г. - ведущего</w:t>
            </w:r>
          </w:p>
        </w:tc>
      </w:tr>
    </w:tbl>
    <w:p>
      <w:pPr>
        <w:framePr w:w="10267" w:h="1608" w:hSpace="14" w:vSpace="1003" w:wrap="none" w:vAnchor="text" w:hAnchor="page" w:x="945" w:y="8881"/>
        <w:widowControl w:val="0"/>
        <w:spacing w:line="1" w:lineRule="exact"/>
      </w:pPr>
    </w:p>
    <w:p>
      <w:pPr>
        <w:pStyle w:val="Style19"/>
        <w:keepNext w:val="0"/>
        <w:keepLines w:val="0"/>
        <w:framePr w:w="10272" w:h="989" w:wrap="none" w:vAnchor="text" w:hAnchor="page" w:x="955" w:y="7878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20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- Комиссия) в составе:</w:t>
      </w:r>
    </w:p>
    <w:p>
      <w:pPr>
        <w:pStyle w:val="Style19"/>
        <w:keepNext w:val="0"/>
        <w:keepLines w:val="0"/>
        <w:framePr w:w="10282" w:h="1003" w:wrap="none" w:vAnchor="text" w:hAnchor="page" w:x="945" w:y="10494"/>
        <w:widowControl w:val="0"/>
        <w:shd w:val="clear" w:color="auto" w:fill="auto"/>
        <w:bidi w:val="0"/>
        <w:spacing w:before="0" w:after="0" w:line="240" w:lineRule="auto"/>
        <w:ind w:left="6100" w:right="0" w:firstLine="0"/>
        <w:jc w:val="left"/>
      </w:pPr>
      <w:r>
        <w:rPr>
          <w:rStyle w:val="CharStyle20"/>
        </w:rPr>
        <w:t>специалиста-эксперта,</w:t>
      </w:r>
    </w:p>
    <w:p>
      <w:pPr>
        <w:pStyle w:val="Style19"/>
        <w:keepNext w:val="0"/>
        <w:keepLines w:val="0"/>
        <w:framePr w:w="10282" w:h="1003" w:wrap="none" w:vAnchor="text" w:hAnchor="page" w:x="945" w:y="104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0"/>
        </w:rPr>
        <w:t>в присутствии представителя заказчика - Кузьминой М.Е. (по доверенности), в присутствии представителей заявителя - Алдатова Г.В. (по доверенности), Греку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9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3" w:right="674" w:bottom="1033" w:left="944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w:rPr>
          <w:rStyle w:val="CharStyle14"/>
        </w:rPr>
        <w:t>Д.Г. (по доверенности), рассмотрев жалобу заявителя ООО «АЛТИ ГРУПП» (вх. №9342/ж от 02.09.2025г.) на действия заказчика - МБУ «КУЛЬТУРНО</w:t>
        <w:softHyphen/>
        <w:t>СПОРТИВНЫЙ КОМПЛЕКС «ИЛЬИНКА» при проведении закупки №0111300005125000626 на предмет: «Поставка арочных металлодетекторов для нужд МБУ «КСК «Ильинка»»,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14"/>
        </w:rPr>
        <w:t>УСТАНОВИЛА: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 xml:space="preserve">Извещение о проведении электронного аукциона №0111300005125000626 на предмет: «Поставка арочных металлодетекторов для нужд МБУ «КСК «Ильинка»» размещено на официальном сайте Российской Федерации для размещения информации о размещении заказов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4"/>
          <w:u w:val="single"/>
          <w:lang w:val="en-US" w:eastAsia="en-US"/>
        </w:rPr>
        <w:t>www.zakupki.gov.ru</w:t>
      </w:r>
      <w:r>
        <w:fldChar w:fldCharType="end"/>
      </w:r>
      <w:r>
        <w:rPr>
          <w:rStyle w:val="CharStyle14"/>
          <w:lang w:val="en-US" w:eastAsia="en-US"/>
        </w:rPr>
        <w:t xml:space="preserve"> </w:t>
      </w:r>
      <w:r>
        <w:rPr>
          <w:rStyle w:val="CharStyle14"/>
        </w:rPr>
        <w:t>26.08.2025г.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Суть жалобы: по мнению заявителя, при проведении закупки нарушены требования действующего законодательства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  <w:b/>
          <w:bCs/>
        </w:rPr>
        <w:t>Комиссия Татарстанского УФАС России по результатам рассмотрения доводов заявителя, позиции заказчика и изучения документации закупки приходит к следующим выводам.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0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  <w:i/>
          <w:iCs/>
        </w:rPr>
        <w:t>Относительно довода заявителя об установлении технических характеристик, соответствующих одному производителю.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Статьей 8 Закона о контактной системе установлено, что контрактная система в сфере закупок направлена на создание равных условий для обеспечения конкуренции между участниками закупок.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(подрядчиком, исполнителем).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В соответствии с п. 1 ч. 2 ст.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Согласно п. 1 ч. 1 ст. 33 Закона о контрактной системе Заказчик в случаях, предусмотренных настоящим Федеральным законом, при описании объекта закупки должен руководствоваться следующими правилами, в частности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2" w:val="left"/>
        </w:tabs>
        <w:bidi w:val="0"/>
        <w:spacing w:before="0" w:after="0" w:line="240" w:lineRule="auto"/>
        <w:ind w:left="0" w:right="0" w:firstLine="740"/>
        <w:jc w:val="both"/>
        <w:sectPr>
          <w:headerReference w:type="default" r:id="rId7"/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1342" w:right="622" w:bottom="1342" w:left="948" w:header="0" w:footer="3" w:gutter="0"/>
          <w:cols w:space="720"/>
          <w:noEndnote/>
          <w:rtlGutter w:val="0"/>
          <w:docGrid w:linePitch="360"/>
        </w:sectPr>
      </w:pPr>
      <w:r>
        <w:rPr>
          <w:rStyle w:val="CharStyle14"/>
        </w:rPr>
        <w:t>сопровождение такого указания словами "или эквивалент";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3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3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3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Согласно ч. 2 ст. 33 Закона о контрактной системе описание объекта закупки в соответствии с требованиями, указанными в ч. 1 ст.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Согласно доводу жалобы, параметры, установленные Заказчиком, свидетельствуют о том, что к закупке Заказчиком планируются металлодетекторы «Поиск-СК», т.к. иные металлодетекторы, представленные на российском рынке, не соответствуют предъявляемым Заказчиком требованиям.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Как пояснил Заказчик, совокупности установленных требований Описания объекта закупки соответствуют товары различных производителей, в том числе Арочный металлодетектор </w:t>
      </w:r>
      <w:r>
        <w:rPr>
          <w:rStyle w:val="CharStyle14"/>
          <w:lang w:val="en-US" w:eastAsia="en-US"/>
        </w:rPr>
        <w:t xml:space="preserve">MasterDetect Z, </w:t>
      </w:r>
      <w:r>
        <w:rPr>
          <w:rStyle w:val="CharStyle14"/>
        </w:rPr>
        <w:t>в подтверждение чего Заказчиком была приложена сравнительная таблица с указанными в описании объекта закупки характеристиками.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Также Заказчиком в адрес Татарстанского УФАС России было направлено РУКОВОДСТВО ПО ЭКСПЛУАТАЦИИ (Паспорт изделия) на Арочный металлодетектор </w:t>
      </w:r>
      <w:r>
        <w:rPr>
          <w:rStyle w:val="CharStyle14"/>
          <w:lang w:val="en-US" w:eastAsia="en-US"/>
        </w:rPr>
        <w:t>MasterDetect Z.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Комиссия отмечает, что при участии и подачи заявки потенциальный участник закупки опирается на устанавливаемые заказчиком в техническом задании требования и технические характеристики к продукции. Соответственно, учитывая, что показатели необходимой продукции становятся известными только при размещении соответствующей закупки с устанавливаемыми в документации требованиями, участник только при изучении документации может сделать вывод о возможности осуществления поставки нужного товара и согласиться с устанавливаемыми условиями заказчика.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headerReference w:type="default" r:id="rId9"/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157" w:right="623" w:bottom="1157" w:left="975" w:header="0" w:footer="729" w:gutter="0"/>
          <w:cols w:space="720"/>
          <w:noEndnote/>
          <w:rtlGutter w:val="0"/>
          <w:docGrid w:linePitch="360"/>
        </w:sectPr>
      </w:pPr>
      <w:r>
        <w:rPr>
          <w:rStyle w:val="CharStyle14"/>
        </w:rPr>
        <w:t>Правила описания объекта закупки определены статьей 33 Закона о контрактной системе. Частью 2 указанной статьи установлено, что извещение о закупке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Из буквального толкования положений Закона следует, что заказчики, осуществляющие закупку при описании объекта закупки должны таким образом определить требования к закупаемым товарам, работа, услугам, чтобы с одной стороны повысить шансы на приобретение товара именно с теми характеристиками, которые им необходимы, соответствует их потребности, а с другой стороны необоснованно не ограничить количество участников.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Исполнением требований статьи 33 Закона о контрактной системе должно являться наличие на рынке как минимум двух производителей, товар которых соответствует всем требованиям, обозначенным в аукционной документации.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При этом Комиссия отмечает, что включение в закупочную документацию требований к закупаемому товару, которые свидетельствуют о его конкретном производителе является нарушением положений статьи 33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Комиссией Татарстанского УФАС России в ходе анализа представленных документов установлено, что в представленной документации на оборудование </w:t>
      </w:r>
      <w:r>
        <w:rPr>
          <w:rStyle w:val="CharStyle14"/>
          <w:lang w:val="en-US" w:eastAsia="en-US"/>
        </w:rPr>
        <w:t xml:space="preserve">MasterDetect Z </w:t>
      </w:r>
      <w:r>
        <w:rPr>
          <w:rStyle w:val="CharStyle14"/>
        </w:rPr>
        <w:t>отсутствует указание на такую характеристику, как «Принцип работы», указанную Заказчиком в техническом задании, а, следовательно, указанное оборудование не может быть представлено для подтверждения наличия на рынке второго производителя товара с требуемыми заказчику характеристиками, учитывая невозможность проверить их соответствие требованиям технического задания.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Помимо того, из пункта 8.7 вышеуказанного руководства по эксплуатации следует, что «Параллельная установка нескольких изделий не требует подключения дополнительных кабелей синхронизации, </w:t>
      </w:r>
      <w:r>
        <w:rPr>
          <w:rStyle w:val="CharStyle14"/>
          <w:u w:val="single"/>
        </w:rPr>
        <w:t>как, например, для импульсно</w:t>
        <w:softHyphen/>
        <w:t>индукционных металлодетекторов</w:t>
      </w:r>
      <w:r>
        <w:rPr>
          <w:rStyle w:val="CharStyle14"/>
        </w:rPr>
        <w:t xml:space="preserve">». Указанное, в свою очередь, может свидетельствовать о том, что представленный арочный металлодетектор </w:t>
      </w:r>
      <w:r>
        <w:rPr>
          <w:rStyle w:val="CharStyle14"/>
          <w:lang w:val="en-US" w:eastAsia="en-US"/>
        </w:rPr>
        <w:t xml:space="preserve">MasterDetect Z </w:t>
      </w:r>
      <w:r>
        <w:rPr>
          <w:rStyle w:val="CharStyle14"/>
        </w:rPr>
        <w:t>имеет иной принцип работы, не являющийся импульсным.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Вместе с тем, заказчиком в материалы дела не представлены иные подтверждения того, что требованиям, установленным в техническом задании, соответствуют товары, как минимум двух производителей.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Комиссия Татарстанского УФАС России приходит к выводу, что в рассматриваемом случае, заказчик, установив требования к характеристикам товара, которые соответствуют одному производителю, ограничил доступ для участия в закупке лицам, желающим поставить товар иного производителя.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Учитывая, что заказчик не представил на заседании Комиссии доказательств, подтверждающих, что установленные технические характеристики товара соответствуют продукции иных производителей, Комиссия приходит к выводу, что требования к функциональным, техническим и качественным характеристикам поставляемого товара, установленные Заказчиком в техническом задании противоречат пункту 1 части 1 статьи 33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Довод заявителя признан обоснованным.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246" w:right="637" w:bottom="1246" w:left="953" w:header="0" w:footer="818" w:gutter="0"/>
          <w:cols w:space="720"/>
          <w:noEndnote/>
          <w:rtlGutter w:val="0"/>
          <w:docGrid w:linePitch="360"/>
        </w:sectPr>
      </w:pPr>
      <w:r>
        <w:rPr>
          <w:rStyle w:val="CharStyle14"/>
        </w:rPr>
        <w:t>Заказчиком нарушены требования статьи 8, пунктов 1-2 части 1 статьи 33, пункта 5 части 1 статьи 42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Также, заявленный на заседании комиссии довод об исполнении арочного металлодетектора оставляется без рассмотрения, ввиду истечения сроков обжалования положений документации.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001" w:val="left"/>
        </w:tabs>
        <w:bidi w:val="0"/>
        <w:spacing w:before="0" w:after="0" w:line="211" w:lineRule="auto"/>
        <w:ind w:left="0" w:right="0" w:firstLine="700"/>
        <w:jc w:val="both"/>
      </w:pPr>
      <w:r>
        <w:rPr>
          <w:rStyle w:val="CharStyle14"/>
          <w:i/>
          <w:iCs/>
        </w:rPr>
        <w:t>Относительно довода заявителя о наличии нарушений при формировании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0" w:name="bookmark0"/>
      <w:r>
        <w:rPr>
          <w:rStyle w:val="CharStyle27"/>
          <w:i/>
          <w:iCs/>
        </w:rPr>
        <w:t>нмцк.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соответствии с частью 8 статьи 99 Закона о контрактной системе органы внутреннего государственного (муниципального) </w:t>
      </w:r>
      <w:r>
        <w:rPr>
          <w:rStyle w:val="CharStyle14"/>
          <w:u w:val="single"/>
        </w:rPr>
        <w:t>финансового</w:t>
      </w:r>
      <w:r>
        <w:rPr>
          <w:rStyle w:val="CharStyle14"/>
        </w:rPr>
        <w:t xml:space="preserve"> контроля осуществляют контроль (за исключением контроля, предусмотренного частью 10 настоящей статьи) в отношении: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0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соблюдения правил нормирования в сфере закупок, установленных в соответствии со статьей 19 настоящего Федерального закона;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0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  <w:u w:val="single"/>
        </w:rPr>
        <w:t>определения и обоснования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услуги, начальной суммы цен единиц товара, работы, услуги;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0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соблюдения предусмотренных настоящим Федеральным законом требований к исполнению, изменению контракта, а также соблюдения условий контракта, в том числе в части соответствия поставленного товара, выполненной работы (ее результата) или оказанной услуги условиям контракта;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7) соответствия использования поставленного товара, выполненной работы (ее результата) или оказанной услуги целям осуществления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Таким образом, учитывая, что вопрос правомерности обоснования начальной (максимальной) цены контракта не относится к компетенции антимонопольного органа, Комиссией принято решение о направлении поступившей жалобы заявителя ООО «АЛТИ ГРУПП» на рассмотрение в Контрольно-счетную палату Нижнекамского района для проведения соответствующей проверки правомерности обоснования НМЦК.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Учитывая вышеизложенные обстоятельства в совокупности, Комиссия приходит к выводу о необходимости выдачи уполномоченному органу, заказчику, оператору ЭТП предписания об устранении нарушений действующего законодательства.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20"/>
        <w:jc w:val="both"/>
      </w:pPr>
      <w:r>
        <w:rPr>
          <w:rStyle w:val="CharStyle14"/>
        </w:rPr>
        <w:t>На основании вышеизложенного, руководствуясь пунктом 2 части 22 статьи 99, частью 8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14"/>
        </w:rPr>
        <w:t>РЕШИЛА: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2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Признать жалобу заявителя ООО «АЛТИ ГРУПП» (вх. №9342/ж от 02.09.2025г.) на действия заказчика - МБУ «КУЛЬТУРНО-СПОРТИВНЫЙ КОМПЛЕКС «ИЛЬИНКА» при проведении закупки №0111300005125000626 на предмет: «Поставка арочных металлодетекторов для нужд МБУ «КСК «Ильинка»», частично обоснованной по 1 доводу.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828" w:val="left"/>
        </w:tabs>
        <w:bidi w:val="0"/>
        <w:spacing w:before="0" w:after="0" w:line="240" w:lineRule="auto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139" w:right="615" w:bottom="1139" w:left="965" w:header="0" w:footer="711" w:gutter="0"/>
          <w:cols w:space="720"/>
          <w:noEndnote/>
          <w:rtlGutter w:val="0"/>
          <w:docGrid w:linePitch="360"/>
        </w:sectPr>
      </w:pPr>
      <w:r>
        <w:rPr>
          <w:rStyle w:val="CharStyle14"/>
        </w:rPr>
        <w:t>Направить жалобу ООО «АЛТИ ГРУПП» (вх. №9342/ж от 02.09.2025г.) на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1021080" distL="114300" distR="114300" simplePos="0" relativeHeight="125829379" behindDoc="0" locked="0" layoutInCell="1" allowOverlap="1">
                <wp:simplePos x="0" y="0"/>
                <wp:positionH relativeFrom="page">
                  <wp:posOffset>5670550</wp:posOffset>
                </wp:positionH>
                <wp:positionV relativeFrom="paragraph">
                  <wp:posOffset>4733290</wp:posOffset>
                </wp:positionV>
                <wp:extent cx="1368425" cy="216535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6842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Р.Х. Валиахметов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46.5pt;margin-top:372.69999999999999pt;width:107.75pt;height:17.050000000000001pt;z-index:-125829374;mso-wrap-distance-left:9.pt;mso-wrap-distance-right:9.pt;mso-wrap-distance-bottom:80.400000000000006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Р.Х. Валиахметов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1021080" distB="0" distL="336550" distR="117475" simplePos="0" relativeHeight="125829381" behindDoc="0" locked="0" layoutInCell="1" allowOverlap="1">
                <wp:simplePos x="0" y="0"/>
                <wp:positionH relativeFrom="page">
                  <wp:posOffset>5892800</wp:posOffset>
                </wp:positionH>
                <wp:positionV relativeFrom="paragraph">
                  <wp:posOffset>5754370</wp:posOffset>
                </wp:positionV>
                <wp:extent cx="1143000" cy="216535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4300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И.Г. Никитина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64.pt;margin-top:453.10000000000002pt;width:90.pt;height:17.050000000000001pt;z-index:-125829372;mso-wrap-distance-left:26.5pt;mso-wrap-distance-top:80.400000000000006pt;mso-wrap-distance-right:9.2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И.Г. Никитина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drawing>
          <wp:anchor distT="0" distB="0" distL="0" distR="0" simplePos="0" relativeHeight="62914696" behindDoc="1" locked="0" layoutInCell="1" allowOverlap="1">
            <wp:simplePos x="0" y="0"/>
            <wp:positionH relativeFrom="margin">
              <wp:posOffset>-445135</wp:posOffset>
            </wp:positionH>
            <wp:positionV relativeFrom="margin">
              <wp:posOffset>6135370</wp:posOffset>
            </wp:positionV>
            <wp:extent cx="6461760" cy="2987040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6461760" cy="29870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7" behindDoc="1" locked="0" layoutInCell="1" allowOverlap="1">
            <wp:simplePos x="0" y="0"/>
            <wp:positionH relativeFrom="margin">
              <wp:posOffset>1917065</wp:posOffset>
            </wp:positionH>
            <wp:positionV relativeFrom="margin">
              <wp:posOffset>4090670</wp:posOffset>
            </wp:positionV>
            <wp:extent cx="3938270" cy="2517775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938270" cy="251777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14"/>
        </w:rPr>
        <w:t>действия заказчика - МБУ «КУЛЬТУРНО-СПОРТИВНЫЙ КОМПЛЕКС «ИЛЬИНКА» при проведении закупки №0111300005125000626 на предмет: «Поставка арочных металлодетекторов для нужд МБУ «КСК «Ильинка»» в части довода о нарушении требований действующего законодательства при обосновании начальной (максимальной) цены контракта в Контрольно-счетную палату Нижнекамского района.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2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Признать в действиях Уполномоченного органа, Заказчика нарушение требований статьи 8, пунктов 1-2 части 1 статьи 33, пункта 5 части 1 статьи 42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2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Выдать уполномоченному органу, заказчику, оператору ЭТП предписание об устранении нарушений действующего законодательства.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2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Передать 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 лиц, допустивших нарушение норм законодательства Российской Федерации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0" w:right="0" w:firstLine="720"/>
        <w:jc w:val="both"/>
      </w:pPr>
      <w:r>
        <w:rPr>
          <w:rStyle w:val="CharStyle14"/>
        </w:rPr>
        <w:t>Решение Комиссии может быть обжаловано в судебном порядке в течение трех месяцев со дня его принятия.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280" w:line="240" w:lineRule="auto"/>
        <w:ind w:left="0" w:right="0" w:firstLine="0"/>
        <w:jc w:val="left"/>
      </w:pPr>
      <w:r>
        <w:rPr>
          <w:rStyle w:val="CharStyle14"/>
        </w:rPr>
        <w:t>Председатель Комиссии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280" w:line="240" w:lineRule="auto"/>
        <w:ind w:left="0" w:right="0" w:firstLine="0"/>
        <w:jc w:val="both"/>
      </w:pPr>
      <w:r>
        <w:rPr>
          <w:rStyle w:val="CharStyle14"/>
        </w:rPr>
        <w:t>Члены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80" w:line="240" w:lineRule="auto"/>
        <w:ind w:left="0" w:right="240" w:firstLine="0"/>
        <w:jc w:val="right"/>
      </w:pPr>
      <w:r>
        <w:rPr>
          <w:rStyle w:val="CharStyle14"/>
        </w:rPr>
        <w:t>И.Ф. Давыдов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9"/>
        </w:rPr>
        <w:t>Исп.: Никитина И.Г. Тел. 8(843)293-10-91</w:t>
      </w:r>
    </w:p>
    <w:sectPr>
      <w:footnotePr>
        <w:pos w:val="pageBottom"/>
        <w:numFmt w:val="decimal"/>
        <w:numRestart w:val="continuous"/>
      </w:footnotePr>
      <w:pgSz w:w="11900" w:h="16840"/>
      <w:pgMar w:top="1232" w:right="637" w:bottom="1232" w:left="943" w:header="0" w:footer="804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708660</wp:posOffset>
              </wp:positionH>
              <wp:positionV relativeFrom="page">
                <wp:posOffset>10304145</wp:posOffset>
              </wp:positionV>
              <wp:extent cx="563880" cy="11557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3880" cy="1155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Style w:val="CharStyle22"/>
                              <w:sz w:val="26"/>
                              <w:szCs w:val="26"/>
                            </w:rPr>
                            <w:t>248828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5.800000000000004pt;margin-top:811.35000000000002pt;width:44.399999999999999pt;height:9.09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Style w:val="CharStyle22"/>
                        <w:sz w:val="26"/>
                        <w:szCs w:val="26"/>
                      </w:rPr>
                      <w:t>248828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3866515</wp:posOffset>
              </wp:positionH>
              <wp:positionV relativeFrom="page">
                <wp:posOffset>532130</wp:posOffset>
              </wp:positionV>
              <wp:extent cx="64135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fldSimple w:instr=" PAGE \* MERGEFORMAT ">
                            <w:r>
                              <w:rPr>
                                <w:rStyle w:val="CharStyle22"/>
                                <w:sz w:val="22"/>
                                <w:szCs w:val="22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4.44999999999999pt;margin-top:41.899999999999999pt;width:5.0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rStyle w:val="CharStyle22"/>
                          <w:sz w:val="22"/>
                          <w:szCs w:val="22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3856355</wp:posOffset>
              </wp:positionH>
              <wp:positionV relativeFrom="page">
                <wp:posOffset>406400</wp:posOffset>
              </wp:positionV>
              <wp:extent cx="57785" cy="10668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fldSimple w:instr=" PAGE \* MERGEFORMAT ">
                            <w:r>
                              <w:rPr>
                                <w:rStyle w:val="CharStyle22"/>
                                <w:sz w:val="22"/>
                                <w:szCs w:val="22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3.65000000000003pt;margin-top:32.pt;width:4.5499999999999998pt;height:8.4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rStyle w:val="CharStyle22"/>
                          <w:sz w:val="22"/>
                          <w:szCs w:val="22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singl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5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2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7C93CD"/>
      <w:u w:val="none"/>
    </w:rPr>
  </w:style>
  <w:style w:type="character" w:customStyle="1" w:styleId="CharStyle5">
    <w:name w:val="Body text (3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D6897"/>
      <w:sz w:val="15"/>
      <w:szCs w:val="15"/>
      <w:u w:val="none"/>
    </w:rPr>
  </w:style>
  <w:style w:type="character" w:customStyle="1" w:styleId="CharStyle8">
    <w:name w:val="Body text (5)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/>
      <w:strike w:val="0"/>
      <w:color w:val="5D6897"/>
      <w:sz w:val="44"/>
      <w:szCs w:val="44"/>
      <w:u w:val="single"/>
      <w:lang w:val="en-US" w:eastAsia="en-US"/>
    </w:rPr>
  </w:style>
  <w:style w:type="character" w:customStyle="1" w:styleId="CharStyle14">
    <w:name w:val="Body text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Other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Table caption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2">
    <w:name w:val="Header or footer (2)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7">
    <w:name w:val="Heading #1_"/>
    <w:basedOn w:val="DefaultParagraphFont"/>
    <w:link w:val="Style2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36"/>
      <w:szCs w:val="36"/>
      <w:u w:val="none"/>
    </w:rPr>
  </w:style>
  <w:style w:type="character" w:customStyle="1" w:styleId="CharStyle29">
    <w:name w:val="Body text (4)_"/>
    <w:basedOn w:val="DefaultParagraphFont"/>
    <w:link w:val="Styl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2">
    <w:name w:val="Body text (2)"/>
    <w:basedOn w:val="Normal"/>
    <w:link w:val="CharStyle3"/>
    <w:pPr>
      <w:widowControl w:val="0"/>
      <w:shd w:val="clear" w:color="auto" w:fill="auto"/>
      <w:spacing w:after="2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7C93CD"/>
      <w:u w:val="none"/>
    </w:rPr>
  </w:style>
  <w:style w:type="paragraph" w:customStyle="1" w:styleId="Style4">
    <w:name w:val="Body text (3)"/>
    <w:basedOn w:val="Normal"/>
    <w:link w:val="CharStyle5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D6897"/>
      <w:sz w:val="15"/>
      <w:szCs w:val="15"/>
      <w:u w:val="none"/>
    </w:rPr>
  </w:style>
  <w:style w:type="paragraph" w:customStyle="1" w:styleId="Style7">
    <w:name w:val="Body text (5)"/>
    <w:basedOn w:val="Normal"/>
    <w:link w:val="CharStyle8"/>
    <w:pPr>
      <w:widowControl w:val="0"/>
      <w:shd w:val="clear" w:color="auto" w:fill="auto"/>
      <w:jc w:val="right"/>
    </w:pPr>
    <w:rPr>
      <w:rFonts w:ascii="Arial" w:eastAsia="Arial" w:hAnsi="Arial" w:cs="Arial"/>
      <w:b w:val="0"/>
      <w:bCs w:val="0"/>
      <w:i w:val="0"/>
      <w:iCs w:val="0"/>
      <w:smallCaps/>
      <w:strike w:val="0"/>
      <w:color w:val="5D6897"/>
      <w:sz w:val="44"/>
      <w:szCs w:val="44"/>
      <w:u w:val="single"/>
      <w:lang w:val="en-US" w:eastAsia="en-US"/>
    </w:rPr>
  </w:style>
  <w:style w:type="paragraph" w:styleId="Style13">
    <w:name w:val="Body text"/>
    <w:basedOn w:val="Normal"/>
    <w:link w:val="CharStyle14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Other"/>
    <w:basedOn w:val="Normal"/>
    <w:link w:val="CharStyle1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Table caption"/>
    <w:basedOn w:val="Normal"/>
    <w:link w:val="CharStyle20"/>
    <w:pPr>
      <w:widowControl w:val="0"/>
      <w:shd w:val="clear" w:color="auto" w:fill="auto"/>
      <w:ind w:firstLine="3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1">
    <w:name w:val="Header or footer (2)"/>
    <w:basedOn w:val="Normal"/>
    <w:link w:val="CharStyle2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6">
    <w:name w:val="Heading #1"/>
    <w:basedOn w:val="Normal"/>
    <w:link w:val="CharStyle27"/>
    <w:pPr>
      <w:widowControl w:val="0"/>
      <w:shd w:val="clear" w:color="auto" w:fill="auto"/>
      <w:spacing w:line="211" w:lineRule="auto"/>
      <w:outlineLvl w:val="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36"/>
      <w:szCs w:val="36"/>
      <w:u w:val="none"/>
    </w:rPr>
  </w:style>
  <w:style w:type="paragraph" w:customStyle="1" w:styleId="Style28">
    <w:name w:val="Body text (4)"/>
    <w:basedOn w:val="Normal"/>
    <w:link w:val="CharStyle2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/Relationships>
</file>