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8"/>
          <w:sz w:val="134"/>
          <w:szCs w:val="134"/>
          <w:lang w:val="en-US" w:eastAsia="en-US"/>
        </w:rPr>
        <w:t>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8"/>
          <w:sz w:val="19"/>
          <w:szCs w:val="19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Хабаровскому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9"/>
          <w:sz w:val="16"/>
          <w:szCs w:val="16"/>
        </w:rPr>
        <w:t>680000, г. Хабаровск, ул. Запарина, 67</w:t>
        <w:br/>
        <w:t>тел./факс (4212) 32-40-57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9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"mailto:to27@fas.gov.ru" </w:instrText>
      </w:r>
      <w:r>
        <w:fldChar w:fldCharType="separate"/>
      </w:r>
      <w:r>
        <w:rPr>
          <w:rStyle w:val="CharStyle9"/>
          <w:sz w:val="16"/>
          <w:szCs w:val="16"/>
          <w:lang w:val="en-US" w:eastAsia="en-US"/>
        </w:rPr>
        <w:t>to27@fas.gov.ru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814" w:val="left"/>
        </w:tabs>
        <w:bidi w:val="0"/>
        <w:spacing w:before="0" w:after="320" w:line="240" w:lineRule="auto"/>
        <w:ind w:left="0" w:right="0" w:firstLine="0"/>
        <w:jc w:val="left"/>
        <w:rPr>
          <w:sz w:val="30"/>
          <w:szCs w:val="30"/>
        </w:rPr>
      </w:pPr>
      <w:r>
        <w:rPr>
          <w:rStyle w:val="CharStyle13"/>
          <w:sz w:val="30"/>
          <w:szCs w:val="30"/>
          <w:u w:val="singl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  <w:sz w:val="30"/>
          <w:szCs w:val="30"/>
          <w:u w:val="single"/>
        </w:rPr>
        <w:t>5.09.2025</w:t>
      </w:r>
      <w:r>
        <w:rPr>
          <w:rStyle w:val="CharStyle13"/>
          <w:sz w:val="30"/>
          <w:szCs w:val="30"/>
        </w:rPr>
        <w:tab/>
      </w:r>
      <w:r>
        <w:fldChar w:fldCharType="end"/>
      </w:r>
      <w:r>
        <w:rPr>
          <w:rStyle w:val="CharStyle13"/>
          <w:sz w:val="30"/>
          <w:szCs w:val="30"/>
        </w:rPr>
        <w:t xml:space="preserve">№ </w:t>
      </w:r>
      <w:r>
        <w:rPr>
          <w:rStyle w:val="CharStyle13"/>
          <w:sz w:val="30"/>
          <w:szCs w:val="30"/>
          <w:u w:val="single"/>
        </w:rPr>
        <w:t>ЛИ/10304/</w:t>
      </w:r>
      <w:r>
        <w:rPr>
          <w:rStyle w:val="CharStyle13"/>
          <w:sz w:val="30"/>
          <w:szCs w:val="30"/>
        </w:rPr>
        <w:t>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8"/>
          <w:sz w:val="24"/>
          <w:szCs w:val="24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ООО «ТД «Гермес»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198097, г. Санкт-Петербург, ул. Трефолева, д. 2, лит. Р, пом. 2Н,3Н, оф. 308-Б </w:t>
      </w:r>
      <w:r>
        <w:fldChar w:fldCharType="begin"/>
      </w:r>
      <w:r>
        <w:rPr/>
        <w:instrText> HYPERLINK "mailto:tdgermes80@gmail.com" </w:instrText>
      </w:r>
      <w:r>
        <w:fldChar w:fldCharType="separate"/>
      </w:r>
      <w:r>
        <w:rPr>
          <w:rStyle w:val="CharStyle13"/>
          <w:lang w:val="en-US" w:eastAsia="en-US"/>
        </w:rPr>
        <w:t>tdgermes80@gmail.com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Федеральное государственное бюджетное образовательное учреждение высшего образования Дальневосточный государственный медицинский университет» министерства здравоохранения Российской Федерации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651" w:bottom="1192" w:left="1135" w:header="0" w:footer="3" w:gutter="0"/>
          <w:pgNumType w:start="1"/>
          <w:cols w:num="2" w:space="720" w:equalWidth="0">
            <w:col w:w="4358" w:space="912"/>
            <w:col w:w="4843"/>
          </w:cols>
          <w:noEndnote/>
          <w:titlePg/>
          <w:rtlGutter w:val="0"/>
          <w:docGrid w:linePitch="360"/>
        </w:sectPr>
      </w:pPr>
      <w:r>
        <w:rPr>
          <w:rStyle w:val="CharStyle13"/>
        </w:rPr>
        <w:t xml:space="preserve">680000, Хабаровский край, Хабаровск г, Муравьева-Амурского, д.35 </w:t>
      </w:r>
      <w:r>
        <w:fldChar w:fldCharType="begin"/>
      </w:r>
      <w:r>
        <w:rPr/>
        <w:instrText> HYPERLINK "mailto:snab2@mail.fesmu.ru" </w:instrText>
      </w:r>
      <w:r>
        <w:fldChar w:fldCharType="separate"/>
      </w:r>
      <w:r>
        <w:rPr>
          <w:rStyle w:val="CharStyle13"/>
          <w:lang w:val="en-US" w:eastAsia="en-US"/>
        </w:rPr>
        <w:t>snab2@mail.fesmu.ru</w:t>
      </w:r>
      <w:r>
        <w:fldChar w:fldCharType="end"/>
      </w:r>
    </w:p>
    <w:p>
      <w:pPr>
        <w:widowControl w:val="0"/>
        <w:spacing w:line="103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" w:right="0" w:bottom="11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21"/>
          <w:b/>
          <w:bCs/>
        </w:rPr>
        <w:t>РЕШЕНИЕ № 7-1/347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755015</wp:posOffset>
                </wp:positionH>
                <wp:positionV relativeFrom="paragraph">
                  <wp:posOffset>12700</wp:posOffset>
                </wp:positionV>
                <wp:extent cx="810895" cy="2527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08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10.09.2025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9.450000000000003pt;margin-top:1.pt;width:63.850000000000001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10.09.2025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г. Хабаровск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3"/>
        </w:rPr>
        <w:t>Комиссия Управления Федеральной антимонопольной службы по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Хабаровскому краю по контролю закупок в составе: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01600" distB="1478280" distL="0" distR="0" simplePos="0" relativeHeight="125829380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101600</wp:posOffset>
                </wp:positionV>
                <wp:extent cx="3578225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782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62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Комиссии:</w:t>
                              <w:tab/>
                              <w:t>- Л.А. Ильченко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649999999999999pt;margin-top:8.pt;width:281.75pt;height:19.699999999999999pt;z-index:-125829373;mso-wrap-distance-left:0;mso-wrap-distance-top:8.pt;mso-wrap-distance-right:0;mso-wrap-distance-bottom:116.4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62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Комиссии:</w:t>
                        <w:tab/>
                        <w:t>- Л.А. Ильченко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4375" distB="865505" distL="0" distR="0" simplePos="0" relativeHeight="125829382" behindDoc="0" locked="0" layoutInCell="1" allowOverlap="1">
                <wp:simplePos x="0" y="0"/>
                <wp:positionH relativeFrom="page">
                  <wp:posOffset>700405</wp:posOffset>
                </wp:positionH>
                <wp:positionV relativeFrom="paragraph">
                  <wp:posOffset>714375</wp:posOffset>
                </wp:positionV>
                <wp:extent cx="137795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79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149999999999999pt;margin-top:56.25pt;width:108.5pt;height:19.699999999999999pt;z-index:-125829371;mso-wrap-distance-left:0;mso-wrap-distance-top:56.25pt;mso-wrap-distance-right:0;mso-wrap-distance-bottom:68.150000000000006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4375" distB="865505" distL="0" distR="0" simplePos="0" relativeHeight="125829384" behindDoc="0" locked="0" layoutInCell="1" allowOverlap="1">
                <wp:simplePos x="0" y="0"/>
                <wp:positionH relativeFrom="page">
                  <wp:posOffset>3062605</wp:posOffset>
                </wp:positionH>
                <wp:positionV relativeFrom="paragraph">
                  <wp:posOffset>714375</wp:posOffset>
                </wp:positionV>
                <wp:extent cx="139001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00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3"/>
                              </w:rPr>
                              <w:t>- М.А. Пилипенко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1.15000000000001pt;margin-top:56.25pt;width:109.45pt;height:19.699999999999999pt;z-index:-125829369;mso-wrap-distance-left:0;mso-wrap-distance-top:56.25pt;mso-wrap-distance-right:0;mso-wrap-distance-bottom:68.150000000000006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3"/>
                        </w:rPr>
                        <w:t>- М.А. Пилипенко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5410" distB="204470" distL="0" distR="0" simplePos="0" relativeHeight="125829386" behindDoc="0" locked="0" layoutInCell="1" allowOverlap="1">
                <wp:simplePos x="0" y="0"/>
                <wp:positionH relativeFrom="page">
                  <wp:posOffset>3062605</wp:posOffset>
                </wp:positionH>
                <wp:positionV relativeFrom="paragraph">
                  <wp:posOffset>1375410</wp:posOffset>
                </wp:positionV>
                <wp:extent cx="124333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- Н.А. Андреева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1.15000000000001pt;margin-top:108.3pt;width:97.900000000000006pt;height:19.699999999999999pt;z-index:-125829367;mso-wrap-distance-left:0;mso-wrap-distance-top:108.3pt;mso-wrap-distance-right:0;mso-wrap-distance-bottom:16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- Н.А. Андреева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0" distL="0" distR="0" simplePos="0" relativeHeight="125829388" behindDoc="0" locked="0" layoutInCell="1" allowOverlap="1">
                <wp:simplePos x="0" y="0"/>
                <wp:positionH relativeFrom="page">
                  <wp:posOffset>4769485</wp:posOffset>
                </wp:positionH>
                <wp:positionV relativeFrom="paragraph">
                  <wp:posOffset>101600</wp:posOffset>
                </wp:positionV>
                <wp:extent cx="2304415" cy="172847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04415" cy="1728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63" w:val="left"/>
                              </w:tabs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заместитель руководителя управления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63" w:val="left"/>
                              </w:tabs>
                              <w:bidi w:val="0"/>
                              <w:spacing w:before="0" w:after="3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начальник отдела контроля закупок,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6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главный специалист-эксперт отдела контроля закупок,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75.55000000000001pt;margin-top:8.pt;width:181.45000000000002pt;height:136.09999999999999pt;z-index:-125829365;mso-wrap-distance-left:0;mso-wrap-distance-top:8.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63" w:val="left"/>
                        </w:tabs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заместитель руководителя управления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63" w:val="left"/>
                        </w:tabs>
                        <w:bidi w:val="0"/>
                        <w:spacing w:before="0" w:after="3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начальник отдела контроля закупок,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6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главный специалист-эксперт отдела контроля закупок,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в присутствии представителей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от заказчика – ФГБОУ ВО ДВГМУ Минздрава России – Юдайтене Т.К. по доверенности № 21 от 10.09.2025; Литвиненко Р.В. по доверенности № 20 от 10.09.2025;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от ООО «ТД «Гермес» – Райгородецкая Г.В. по доверенности б/н от 19.12.2022,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rStyle w:val="CharStyle13"/>
        </w:rPr>
        <w:t xml:space="preserve">рассмотрев жалобу ООО «ТД «Гермес» и материалы дела </w:t>
      </w:r>
      <w:r>
        <w:rPr>
          <w:rStyle w:val="CharStyle13"/>
          <w:lang w:val="en-US" w:eastAsia="en-US"/>
        </w:rPr>
        <w:t>027/06/105</w:t>
        <w:softHyphen/>
      </w:r>
      <w:r>
        <w:rPr>
          <w:rStyle w:val="CharStyle13"/>
        </w:rPr>
      </w:r>
      <w:r>
        <w:rPr>
          <w:rStyle w:val="CharStyle13"/>
          <w:lang w:val="en-US" w:eastAsia="en-US"/>
        </w:rPr>
        <w:t>1517/2025,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50"/>
          <w:szCs w:val="50"/>
        </w:rPr>
      </w:pPr>
      <w:r>
        <w:rPr>
          <w:rStyle w:val="CharStyle3"/>
          <w:rFonts w:ascii="Arial" w:eastAsia="Arial" w:hAnsi="Arial" w:cs="Arial"/>
          <w:sz w:val="50"/>
          <w:szCs w:val="50"/>
          <w:lang w:val="en-US" w:eastAsia="en-US"/>
        </w:rPr>
        <w:t>IIIIIIIIIIIIIIIIIIIIIIIII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 xml:space="preserve">В Управление Федеральной антимонопольной службы по Хабаровскому краю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Хабаровское УФАС России) поступила жалоба ООО «ТД «Гермес»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Заявитель) на действия заказчика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Федерального государственного бюджетного образовательного учреждения высшего образования Дальневосточный государственный медицинский университет» министерства здравоохранения Российской Федерации при осуществлении закупки путем проведения аукциона в электронной форме на поставку медицинских изделий, ввод в эксплуатацию медицинских изделий, обучение правилам эксплуатации специалистов, эксплуатирующих медицинские изделия (извещение </w:t>
      </w:r>
      <w:r>
        <w:rPr>
          <w:rStyle w:val="CharStyle13"/>
          <w:lang w:val="en-US" w:eastAsia="en-US"/>
        </w:rPr>
        <w:t>№ 0322100003825000019).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3"/>
        </w:rPr>
        <w:t xml:space="preserve">Заявитель указывает в своей жалобе на нарушение заказчиком требований Федерального 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 при отклонении заявки ИП Изотова А.Ю.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 xml:space="preserve">На основании 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 о контрактной системе, Хабаровским УФАС России принято решение о проведении внеплановой проверки, по результатам которой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 xml:space="preserve">Извещение </w:t>
      </w:r>
      <w:r>
        <w:rPr>
          <w:rStyle w:val="CharStyle13"/>
          <w:lang w:val="en-US" w:eastAsia="en-US"/>
        </w:rPr>
        <w:t xml:space="preserve">№ 0322100003825000019 </w:t>
      </w:r>
      <w:r>
        <w:rPr>
          <w:rStyle w:val="CharStyle13"/>
        </w:rPr>
        <w:t xml:space="preserve">о проведении электронного аукциона размещено на официальном сайте единой информационной системы в сфере закупок </w:t>
      </w:r>
      <w:r>
        <w:rPr>
          <w:rStyle w:val="CharStyle13"/>
          <w:lang w:val="en-US" w:eastAsia="en-US"/>
        </w:rPr>
        <w:t>20.08.2025.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>Объект закупки: Поставка медицинских изделий, ввод в эксплуатацию медицинских изделий, обучение правилам эксплуатации специалистов, эксплуатирующих медицинские изделия.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 xml:space="preserve">Начальная (максимальная) цена контракта составляет </w:t>
      </w:r>
      <w:r>
        <w:rPr>
          <w:rStyle w:val="CharStyle13"/>
          <w:lang w:val="en-US" w:eastAsia="en-US"/>
        </w:rPr>
        <w:t xml:space="preserve">4 017 000,00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 xml:space="preserve">Дата и время окончания срока подачи заявок: </w:t>
      </w:r>
      <w:r>
        <w:rPr>
          <w:rStyle w:val="CharStyle13"/>
          <w:lang w:val="en-US" w:eastAsia="en-US"/>
        </w:rPr>
        <w:t>28.08.2025 10:00.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01.09.2025 </w:t>
      </w:r>
      <w:r>
        <w:rPr>
          <w:rStyle w:val="CharStyle13"/>
        </w:rPr>
        <w:t xml:space="preserve">№ИЭА1 по окончании срока подачи заявок на участие в закупке подано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заявки. Заявка с идентификационным номером </w:t>
      </w:r>
      <w:r>
        <w:rPr>
          <w:rStyle w:val="CharStyle13"/>
          <w:lang w:val="en-US" w:eastAsia="en-US"/>
        </w:rPr>
        <w:t xml:space="preserve">210 </w:t>
      </w:r>
      <w:r>
        <w:rPr>
          <w:rStyle w:val="CharStyle13"/>
        </w:rPr>
        <w:t xml:space="preserve">(заявитель) отклонена по основанию: «Не соответствует требованиям «п.4 ч.12 ст.48 Федерального 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44-ФЗ, п.1,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Постановления Правительства Российской Федерации от </w:t>
      </w:r>
      <w:r>
        <w:rPr>
          <w:rStyle w:val="CharStyle13"/>
          <w:lang w:val="en-US" w:eastAsia="en-US"/>
        </w:rPr>
        <w:t xml:space="preserve">23.12.2024 № 1875, </w:t>
      </w:r>
      <w:r>
        <w:rPr>
          <w:rStyle w:val="CharStyle13"/>
        </w:rPr>
        <w:t xml:space="preserve">п.4.1.7, п.4.1.8 </w:t>
      </w:r>
      <w:r>
        <w:rPr>
          <w:rStyle w:val="CharStyle13"/>
          <w:lang w:val="en-US" w:eastAsia="en-US"/>
        </w:rPr>
        <w:t xml:space="preserve">(I </w:t>
      </w:r>
      <w:r>
        <w:rPr>
          <w:rStyle w:val="CharStyle13"/>
        </w:rPr>
        <w:t xml:space="preserve">ИНСТРУКЦИЯ УЧАСТНИКАМ) требований к содержанию, составу заявки на участие в закупке извещения о проведении электронного аукциона и п.38 </w:t>
      </w:r>
      <w:r>
        <w:rPr>
          <w:rStyle w:val="CharStyle13"/>
          <w:lang w:val="en-US" w:eastAsia="en-US"/>
        </w:rPr>
        <w:t xml:space="preserve">(II </w:t>
      </w:r>
      <w:r>
        <w:rPr>
          <w:rStyle w:val="CharStyle13"/>
        </w:rPr>
        <w:t xml:space="preserve">Информационная карта). В составе заявки участника закупки представлен номер реестровой записи из реестра российской промышленной продукции </w:t>
      </w:r>
      <w:r>
        <w:rPr>
          <w:rStyle w:val="CharStyle13"/>
          <w:lang w:val="en-US" w:eastAsia="en-US"/>
        </w:rPr>
        <w:t xml:space="preserve">(10391398), </w:t>
      </w:r>
      <w:r>
        <w:rPr>
          <w:rStyle w:val="CharStyle13"/>
        </w:rPr>
        <w:t>не содержащий информацию о совокупном количестве баллов за выполнение (освоение) на территории Российской Федерации соответствующих операций (условий), предусмотренных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17.07.2015 № 719, </w:t>
      </w:r>
      <w:r>
        <w:rPr>
          <w:rStyle w:val="CharStyle13"/>
        </w:rPr>
        <w:t>что приравнивает данную заявку к заявке, в которой содержится предложение о поставке товара, происходящего из иностранного государства или группы иностранных государств».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>Заказчиком в адрес Хабаровского УФАС России представлены возражения на жалобу, согласно которым считает жалобу необоснованной в полном объеме.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 xml:space="preserve">Изучив материалы дела </w:t>
      </w:r>
      <w:r>
        <w:rPr>
          <w:rStyle w:val="CharStyle13"/>
          <w:lang w:val="en-US" w:eastAsia="en-US"/>
        </w:rPr>
        <w:t xml:space="preserve">№ 027/06/105-1517/2025, </w:t>
      </w:r>
      <w:r>
        <w:rPr>
          <w:rStyle w:val="CharStyle13"/>
        </w:rPr>
        <w:t>с учетом конкретных обстоятельств дела, Комиссия Хабаровского УФАС России приходит к выводу о признании жалобы необоснованной по следующим основаниям.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 xml:space="preserve">Согласно п.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№44-ФЗ,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(извещение об осуществлении закупки, содержащее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 xml:space="preserve">В силу 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системе, при осуществлении закупок предоставляется национальный режим, происходящему из иностранного государства или группы иностранных государств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3"/>
        </w:rPr>
        <w:t xml:space="preserve">В соответствии с пп. «б» п.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Закона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Правительство Российской Федерации вправе с учетом положений 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настоящей статьи принимать меры, 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 предусмотрено, что если Правительством Российской Федерации установлено предусмотренное подпунктом «б»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настоящей статьи ограничение закупок товара: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 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Во исполнение 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 Правительством Российской Федерации принято Постановление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>№ 1875).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 xml:space="preserve">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подпунктом «а»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(за исключением случая, предусмотренного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настоящей части), подпунктом «а» пункта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4, </w:t>
      </w:r>
      <w:r>
        <w:rPr>
          <w:rStyle w:val="CharStyle13"/>
        </w:rPr>
        <w:t xml:space="preserve">подпунктом «а»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(за исключением случая, предусмотренного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настоящей части), 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сведениям извещения о проведении электронного аукциона объектом закупки является поставка ультразвуковых аппаратов (код ОКПД2 </w:t>
      </w:r>
      <w:r>
        <w:rPr>
          <w:rStyle w:val="CharStyle13"/>
          <w:lang w:val="en-US" w:eastAsia="en-US"/>
        </w:rPr>
        <w:t xml:space="preserve">26.60.12.132), </w:t>
      </w:r>
      <w:r>
        <w:rPr>
          <w:rStyle w:val="CharStyle13"/>
        </w:rPr>
        <w:t xml:space="preserve">которые образуют позицию </w:t>
      </w:r>
      <w:r>
        <w:rPr>
          <w:rStyle w:val="CharStyle13"/>
          <w:lang w:val="en-US" w:eastAsia="en-US"/>
        </w:rPr>
        <w:t xml:space="preserve">314 </w:t>
      </w:r>
      <w:r>
        <w:rPr>
          <w:rStyle w:val="CharStyle13"/>
        </w:rPr>
        <w:t xml:space="preserve">перечня, следовательно, осуществляя закупку продукции, включенной в перечень, заказчик во исполнение требований статьи </w:t>
      </w:r>
      <w:r>
        <w:rPr>
          <w:rStyle w:val="CharStyle13"/>
          <w:lang w:val="en-US" w:eastAsia="en-US"/>
        </w:rPr>
        <w:t xml:space="preserve">14, </w:t>
      </w:r>
      <w:r>
        <w:rPr>
          <w:rStyle w:val="CharStyle13"/>
        </w:rPr>
        <w:t xml:space="preserve">пункта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установил ограничения в соответствии с Постановлением </w:t>
      </w:r>
      <w:r>
        <w:rPr>
          <w:rStyle w:val="CharStyle13"/>
          <w:lang w:val="en-US" w:eastAsia="en-US"/>
        </w:rPr>
        <w:t>№ 1875.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1875 </w:t>
      </w:r>
      <w:r>
        <w:rPr>
          <w:rStyle w:val="CharStyle13"/>
        </w:rPr>
        <w:t>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а) для подтверждения происхождения товаров, указанных в позициях </w:t>
      </w:r>
      <w:r>
        <w:rPr>
          <w:rStyle w:val="CharStyle13"/>
          <w:lang w:val="en-US" w:eastAsia="en-US"/>
        </w:rPr>
        <w:t xml:space="preserve">1 - 145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 xml:space="preserve">к настоящему постановлению, позициях </w:t>
      </w:r>
      <w:r>
        <w:rPr>
          <w:rStyle w:val="CharStyle13"/>
          <w:lang w:val="en-US" w:eastAsia="en-US"/>
        </w:rPr>
        <w:t xml:space="preserve">1 - 433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настоящему постановлению, приложении </w:t>
      </w:r>
      <w:r>
        <w:rPr>
          <w:rStyle w:val="CharStyle13"/>
          <w:lang w:val="en-US" w:eastAsia="en-US"/>
        </w:rPr>
        <w:t xml:space="preserve">№ 3 </w:t>
      </w:r>
      <w:r>
        <w:rPr>
          <w:rStyle w:val="CharStyle13"/>
        </w:rPr>
        <w:t xml:space="preserve">к настоящему постановлению, из Российской Федерации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3"/>
          <w:lang w:val="en-US" w:eastAsia="en-US"/>
        </w:rPr>
        <w:t xml:space="preserve">17.1 </w:t>
      </w:r>
      <w:r>
        <w:rPr>
          <w:rStyle w:val="CharStyle13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13"/>
          <w:lang w:val="en-US" w:eastAsia="en-US"/>
        </w:rPr>
        <w:t xml:space="preserve">1(1) </w:t>
      </w:r>
      <w:r>
        <w:rPr>
          <w:rStyle w:val="CharStyle13"/>
        </w:rPr>
        <w:t xml:space="preserve">постановления Правительства Российской Федерации от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июля </w:t>
      </w:r>
      <w:r>
        <w:rPr>
          <w:rStyle w:val="CharStyle13"/>
          <w:lang w:val="en-US" w:eastAsia="en-US"/>
        </w:rPr>
        <w:t xml:space="preserve">2015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719 </w:t>
      </w:r>
      <w:r>
        <w:rPr>
          <w:rStyle w:val="CharStyle13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июля </w:t>
      </w:r>
      <w:r>
        <w:rPr>
          <w:rStyle w:val="CharStyle13"/>
          <w:lang w:val="en-US" w:eastAsia="en-US"/>
        </w:rPr>
        <w:t xml:space="preserve">2015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№ 719 </w:t>
      </w:r>
      <w:r>
        <w:rPr>
          <w:rStyle w:val="CharStyle13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июля </w:t>
      </w:r>
      <w:r>
        <w:rPr>
          <w:rStyle w:val="CharStyle13"/>
          <w:lang w:val="en-US" w:eastAsia="en-US"/>
        </w:rPr>
        <w:t xml:space="preserve">2015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№ 719 </w:t>
      </w:r>
      <w:r>
        <w:rPr>
          <w:rStyle w:val="CharStyle13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июля </w:t>
      </w:r>
      <w:r>
        <w:rPr>
          <w:rStyle w:val="CharStyle13"/>
          <w:lang w:val="en-US" w:eastAsia="en-US"/>
        </w:rPr>
        <w:t xml:space="preserve">2015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№ 719 </w:t>
      </w:r>
      <w:r>
        <w:rPr>
          <w:rStyle w:val="CharStyle13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" w:right="542" w:bottom="1182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Комиссией Хабаровского УФАС России установлено, что заявка </w:t>
      </w:r>
      <w:r>
        <w:rPr>
          <w:rStyle w:val="CharStyle13"/>
          <w:lang w:val="en-US" w:eastAsia="en-US"/>
        </w:rPr>
        <w:t xml:space="preserve">№ 210 </w:t>
      </w:r>
      <w:r>
        <w:rPr>
          <w:rStyle w:val="CharStyle13"/>
        </w:rPr>
        <w:t>не содержала информации о совокупном количестве баллов.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Таким образом, Комиссия Хабаровского УФАС России приходит к выводу, что заявка </w:t>
      </w:r>
      <w:r>
        <w:rPr>
          <w:rStyle w:val="CharStyle13"/>
          <w:lang w:val="en-US" w:eastAsia="en-US"/>
        </w:rPr>
        <w:t xml:space="preserve">№ 210 </w:t>
      </w:r>
      <w:r>
        <w:rPr>
          <w:rStyle w:val="CharStyle13"/>
        </w:rPr>
        <w:t>правомерно отклонена закупочной комиссией, так как не соответствовала требованиям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Довод заявителя о том, что заявка участника отклонена неправомерно, в связи с внесением изменений в Постановление </w:t>
      </w:r>
      <w:r>
        <w:rPr>
          <w:rStyle w:val="CharStyle13"/>
          <w:lang w:val="en-US" w:eastAsia="en-US"/>
        </w:rPr>
        <w:t xml:space="preserve">№ 1875, </w:t>
      </w:r>
      <w:r>
        <w:rPr>
          <w:rStyle w:val="CharStyle13"/>
        </w:rPr>
        <w:t>отклоняется Комиссией Хабаровского УФАС России на основании следующего.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Постановлением Правительства РФ от </w:t>
      </w:r>
      <w:r>
        <w:rPr>
          <w:rStyle w:val="CharStyle13"/>
          <w:lang w:val="en-US" w:eastAsia="en-US"/>
        </w:rPr>
        <w:t xml:space="preserve">29.08.2025 № 1326 </w:t>
      </w:r>
      <w:r>
        <w:rPr>
          <w:rStyle w:val="CharStyle13"/>
        </w:rPr>
        <w:t xml:space="preserve">«О внесении изменений в постановление Правительства Российской Федерации от </w:t>
      </w:r>
      <w:r>
        <w:rPr>
          <w:rStyle w:val="CharStyle13"/>
          <w:lang w:val="en-US" w:eastAsia="en-US"/>
        </w:rPr>
        <w:t xml:space="preserve">23 </w:t>
      </w:r>
      <w:r>
        <w:rPr>
          <w:rStyle w:val="CharStyle13"/>
        </w:rPr>
        <w:t xml:space="preserve">декабря </w:t>
      </w:r>
      <w:r>
        <w:rPr>
          <w:rStyle w:val="CharStyle13"/>
          <w:lang w:val="en-US" w:eastAsia="en-US"/>
        </w:rPr>
        <w:t xml:space="preserve">2024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№ 1875»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 xml:space="preserve">№ 1326) </w:t>
      </w:r>
      <w:r>
        <w:rPr>
          <w:rStyle w:val="CharStyle13"/>
        </w:rPr>
        <w:t xml:space="preserve">пункт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1875 </w:t>
      </w:r>
      <w:r>
        <w:rPr>
          <w:rStyle w:val="CharStyle13"/>
        </w:rPr>
        <w:t>дополнен подпунктом «н» следующего содержания: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«н) положения абзаца второго подпункта «а» пункта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настоящего постановления не применяются: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для подтверждения происхождения из Российской Федерации товаров, указанных в позиции </w:t>
      </w:r>
      <w:r>
        <w:rPr>
          <w:rStyle w:val="CharStyle13"/>
          <w:lang w:val="en-US" w:eastAsia="en-US"/>
        </w:rPr>
        <w:t xml:space="preserve">139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 xml:space="preserve">к настоящему постановлению, позициях </w:t>
      </w:r>
      <w:r>
        <w:rPr>
          <w:rStyle w:val="CharStyle13"/>
          <w:lang w:val="en-US" w:eastAsia="en-US"/>
        </w:rPr>
        <w:t xml:space="preserve">273, 276, 297 - 299, 304 - 306, 309 - 312, 314, 316, 318, 320, 334, 354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382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N 2 </w:t>
      </w:r>
      <w:r>
        <w:rPr>
          <w:rStyle w:val="CharStyle13"/>
        </w:rPr>
        <w:t xml:space="preserve">к настоящему постановлению, позициях </w:t>
      </w:r>
      <w:r>
        <w:rPr>
          <w:rStyle w:val="CharStyle13"/>
          <w:lang w:val="en-US" w:eastAsia="en-US"/>
        </w:rPr>
        <w:t xml:space="preserve">79 - 81, 83 - 87, 105, 272, 275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3 </w:t>
      </w:r>
      <w:r>
        <w:rPr>
          <w:rStyle w:val="CharStyle13"/>
        </w:rPr>
        <w:t xml:space="preserve">к настоящему постановлению и реестровые записи в реестре российской промышленной продукции в отношении которых сформированы по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октября </w:t>
      </w:r>
      <w:r>
        <w:rPr>
          <w:rStyle w:val="CharStyle13"/>
          <w:lang w:val="en-US" w:eastAsia="en-US"/>
        </w:rPr>
        <w:t xml:space="preserve">2023 </w:t>
      </w:r>
      <w:r>
        <w:rPr>
          <w:rStyle w:val="CharStyle13"/>
        </w:rPr>
        <w:t xml:space="preserve">г. включительно, при осуществлении закупок таких товаров (в том числе поставляемых при выполнении закупаемых работ, оказании закупаемых услуг),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декабря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г. включительно».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п.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1326 </w:t>
      </w:r>
      <w:r>
        <w:rPr>
          <w:rStyle w:val="CharStyle13"/>
        </w:rPr>
        <w:t xml:space="preserve">настоящее постановление вступает в силу с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сентября </w:t>
      </w:r>
      <w:r>
        <w:rPr>
          <w:rStyle w:val="CharStyle13"/>
          <w:lang w:val="en-US" w:eastAsia="en-US"/>
        </w:rPr>
        <w:t xml:space="preserve">2025 </w:t>
      </w:r>
      <w:r>
        <w:rPr>
          <w:rStyle w:val="CharStyle13"/>
        </w:rPr>
        <w:t>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Извещение </w:t>
      </w:r>
      <w:r>
        <w:rPr>
          <w:rStyle w:val="CharStyle13"/>
          <w:lang w:val="en-US" w:eastAsia="en-US"/>
        </w:rPr>
        <w:t xml:space="preserve">№ 0322100003825000019 </w:t>
      </w:r>
      <w:r>
        <w:rPr>
          <w:rStyle w:val="CharStyle13"/>
        </w:rPr>
        <w:t xml:space="preserve">о проведении электронного аукциона размещено </w:t>
      </w:r>
      <w:r>
        <w:rPr>
          <w:rStyle w:val="CharStyle13"/>
          <w:lang w:val="en-US" w:eastAsia="en-US"/>
        </w:rPr>
        <w:t>- 20.08.2025.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Дата и время подачи заявки </w:t>
      </w:r>
      <w:r>
        <w:rPr>
          <w:rStyle w:val="CharStyle13"/>
          <w:lang w:val="en-US" w:eastAsia="en-US"/>
        </w:rPr>
        <w:t>№ 210 – 27.08.2025 18:42:01.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Таким образом, закупка размещена до вступления в силу Постановления </w:t>
      </w:r>
      <w:r>
        <w:rPr>
          <w:rStyle w:val="CharStyle13"/>
          <w:lang w:val="en-US" w:eastAsia="en-US"/>
        </w:rPr>
        <w:t xml:space="preserve">№ 1326, </w:t>
      </w:r>
      <w:r>
        <w:rPr>
          <w:rStyle w:val="CharStyle13"/>
        </w:rPr>
        <w:t xml:space="preserve">поэтому его действие не распространяется на закупку, размещенную до вступления в силу постановления, поскольку нормативно-правовой документ обратной силы не имеет. Отдельных положений о распространении указанных норм на ранее размещенные извещения о закупках Постановление </w:t>
      </w:r>
      <w:r>
        <w:rPr>
          <w:rStyle w:val="CharStyle13"/>
          <w:lang w:val="en-US" w:eastAsia="en-US"/>
        </w:rPr>
        <w:t xml:space="preserve">№ 1326 </w:t>
      </w:r>
      <w:r>
        <w:rPr>
          <w:rStyle w:val="CharStyle13"/>
        </w:rPr>
        <w:t>не содержит.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Исходя из вышеизложенного, Комиссия Хабаровского УФАС России, проанализировав материалы дела, не усматривает в действиях закупочной комиссии нарушений требований Закона о контрактной системе, в связи с чем, жалоба заявителя признается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0" w:right="0" w:firstLine="720"/>
        <w:jc w:val="both"/>
        <w:rPr>
          <w:sz w:val="24"/>
          <w:szCs w:val="24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05" w:right="536" w:bottom="473" w:left="1106" w:header="677" w:footer="45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На основании изложенного, руководствуясь ст. </w:t>
      </w:r>
      <w:r>
        <w:rPr>
          <w:rStyle w:val="CharStyle13"/>
          <w:lang w:val="en-US" w:eastAsia="en-US"/>
        </w:rPr>
        <w:t xml:space="preserve">99, 106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sz w:val="24"/>
          <w:szCs w:val="24"/>
          <w:lang w:val="en-US" w:eastAsia="en-US"/>
        </w:rPr>
        <w:t>2025-10783 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>44-ФЗ «О контрактной системе в сфере закупок товаров, работ, услуг для обеспечения государственных и муниципальных нужд», Комиссия Хабаровского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3"/>
        </w:rPr>
        <w:t xml:space="preserve">Признать жалобу ООО «ТД «Гермес» на действия заказчика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Федерального государственного бюджетного образовательного учреждения высшего образования Дальневосточный государственный медицинский университет» министерства здравоохранения Российской Федерации при осуществлении закупки путем проведения электронного аукциона на поставку медицинских изделий, ввод в эксплуатацию медицинских изделий, обучение правилам эксплуатации специалистов, эксплуатирующих медицинские изделия (извещение </w:t>
      </w:r>
      <w:r>
        <w:rPr>
          <w:rStyle w:val="CharStyle13"/>
          <w:lang w:val="en-US" w:eastAsia="en-US"/>
        </w:rPr>
        <w:t xml:space="preserve">№ 0322100003825000019) – </w:t>
      </w:r>
      <w:r>
        <w:rPr>
          <w:rStyle w:val="CharStyle13"/>
          <w:b/>
          <w:bCs/>
        </w:rPr>
        <w:t>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1155" w:left="1106" w:header="67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78460" distL="0" distR="0" simplePos="0" relativeHeight="12582939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342900</wp:posOffset>
                </wp:positionV>
                <wp:extent cx="182562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200000000000003pt;margin-top:27.pt;width:143.75pt;height:19.900000000000002pt;z-index:-125829363;mso-wrap-distance-left:0;mso-wrap-distance-top:27.pt;mso-wrap-distance-right:0;mso-wrap-distance-bottom:29.8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2750" distB="36830" distL="0" distR="1786255" simplePos="0" relativeHeight="125829392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412750</wp:posOffset>
            </wp:positionV>
            <wp:extent cx="359410" cy="52451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821055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40000000000001pt;margin-top:64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504190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25pt;margin-top:39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6445" distB="635" distL="0" distR="0" simplePos="0" relativeHeight="125829393" behindDoc="0" locked="0" layoutInCell="1" allowOverlap="1">
                <wp:simplePos x="0" y="0"/>
                <wp:positionH relativeFrom="page">
                  <wp:posOffset>6061075</wp:posOffset>
                </wp:positionH>
                <wp:positionV relativeFrom="paragraph">
                  <wp:posOffset>766445</wp:posOffset>
                </wp:positionV>
                <wp:extent cx="1124585" cy="20701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Л.А. Ильченко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7.25pt;margin-top:60.350000000000001pt;width:88.549999999999997pt;height:16.300000000000001pt;z-index:-125829360;mso-wrap-distance-left:0;mso-wrap-distance-top:60.35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Л.А. Ильченко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Ильченко Лариса Александровна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53D9DA0421EF18C746B01F823E3291C3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9"/>
        </w:rPr>
        <w:t xml:space="preserve">Действителен с 05.09.2024 </w:t>
      </w:r>
      <w:r>
        <w:rPr>
          <w:rStyle w:val="CharStyle29"/>
          <w:color w:val="595959"/>
        </w:rPr>
        <w:t xml:space="preserve">по </w:t>
      </w:r>
      <w:r>
        <w:rPr>
          <w:rStyle w:val="CharStyle29"/>
        </w:rPr>
        <w:t>29.1</w:t>
      </w:r>
      <w:r>
        <w:rPr>
          <w:rStyle w:val="CharStyle29"/>
          <w:color w:val="292929"/>
        </w:rPr>
        <w:t>1</w:t>
      </w:r>
      <w:r>
        <w:rPr>
          <w:rStyle w:val="CharStyle29"/>
          <w:color w:val="595959"/>
        </w:rPr>
        <w:t>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drawing>
          <wp:anchor distT="0" distB="0" distL="114300" distR="1900555" simplePos="0" relativeHeight="125829395" behindDoc="0" locked="0" layoutInCell="1" allowOverlap="1">
            <wp:simplePos x="0" y="0"/>
            <wp:positionH relativeFrom="page">
              <wp:posOffset>2622550</wp:posOffset>
            </wp:positionH>
            <wp:positionV relativeFrom="paragraph">
              <wp:posOffset>304800</wp:posOffset>
            </wp:positionV>
            <wp:extent cx="389890" cy="55499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743585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5.40000000000001pt;margin-top:58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426720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25pt;margin-top:33.6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rStyle w:val="CharStyle13"/>
        </w:rPr>
        <w:t>М.А. Пилипенко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Пилипенко Мария Алексеевна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0797EFE01D318B18AC0C7C191ECDCCEE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drawing>
          <wp:anchor distT="0" distB="0" distL="114300" distR="1918970" simplePos="0" relativeHeight="125829396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368300</wp:posOffset>
            </wp:positionV>
            <wp:extent cx="316865" cy="36576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438150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2.25pt;margin-top:34.5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9"/>
        </w:rPr>
        <w:t xml:space="preserve">Действителен с 09.01.2025 </w:t>
      </w:r>
      <w:r>
        <w:rPr>
          <w:rStyle w:val="CharStyle29"/>
          <w:color w:val="595959"/>
        </w:rPr>
        <w:t xml:space="preserve">по </w:t>
      </w:r>
      <w:r>
        <w:rPr>
          <w:rStyle w:val="CharStyle29"/>
        </w:rPr>
        <w:t>04.04.2026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center"/>
      </w:pPr>
      <w:r>
        <w:rPr>
          <w:rStyle w:val="CharStyle13"/>
        </w:rPr>
        <w:t>Н.А. Андреева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Андреева Наталья Анатольевна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145C086673CDEA632A000A3F830A5E05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020" w:line="240" w:lineRule="auto"/>
        <w:ind w:right="0" w:firstLine="0"/>
        <w:jc w:val="left"/>
      </w:pPr>
      <w:r>
        <w:rPr>
          <w:rStyle w:val="CharStyle29"/>
        </w:rPr>
        <w:t xml:space="preserve">Действителен с 24.02.2025 </w:t>
      </w:r>
      <w:r>
        <w:rPr>
          <w:rStyle w:val="CharStyle29"/>
          <w:color w:val="595959"/>
        </w:rPr>
        <w:t xml:space="preserve">по </w:t>
      </w:r>
      <w:r>
        <w:rPr>
          <w:rStyle w:val="CharStyle29"/>
        </w:rPr>
        <w:t>20.05.2026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8"/>
        </w:rPr>
        <w:t>Исп.Андреева Н.А тел.(4212) 31-11-91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10010140</wp:posOffset>
              </wp:positionV>
              <wp:extent cx="644017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401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4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2025-10783</w:t>
                            <w:tab/>
                          </w: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8.20000000000005pt;width:507.10000000000002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4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2025-10783</w:t>
                      <w:tab/>
                    </w: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9859010</wp:posOffset>
              </wp:positionV>
              <wp:extent cx="69469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2025-10783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050000000000004pt;margin-top:776.30000000000007pt;width:54.70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2025-10783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10010140</wp:posOffset>
              </wp:positionV>
              <wp:extent cx="6440170" cy="12827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401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4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2025-10783</w:t>
                            <w:tab/>
                          </w: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950000000000003pt;margin-top:788.20000000000005pt;width:507.10000000000002pt;height:10.1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4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2025-10783</w:t>
                      <w:tab/>
                    </w: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Body text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Heading #1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Picture caption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9">
    <w:name w:val="Body text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7"/>
      <w:szCs w:val="17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Picture caption"/>
    <w:basedOn w:val="Normal"/>
    <w:link w:val="CharStyle2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8">
    <w:name w:val="Body text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