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69035" distR="1108075" simplePos="0" relativeHeight="125829378" behindDoc="0" locked="0" layoutInCell="1" allowOverlap="1">
            <wp:simplePos x="0" y="0"/>
            <wp:positionH relativeFrom="page">
              <wp:posOffset>1774190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728980</wp:posOffset>
                </wp:positionV>
                <wp:extent cx="2581910" cy="2063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>2,09.2025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ab/>
                              <w:t>№ 9337/25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649999999999999pt;margin-top:57.399999999999999pt;width:203.30000000000001pt;height:162.5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Пушкина, 95, г. Уфа, 450008</w:t>
                        <w:br/>
                        <w:t>тел. (347) 273-34-05, факс (347) 272-58-82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>2,09.2025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ab/>
                        <w:t>№ 9337/25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0500" distB="0" distL="114300" distR="114300" simplePos="0" relativeHeight="125829381" behindDoc="0" locked="0" layoutInCell="1" allowOverlap="1">
            <wp:simplePos x="0" y="0"/>
            <wp:positionH relativeFrom="page">
              <wp:posOffset>713105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0" w:right="0" w:firstLine="60"/>
        <w:jc w:val="left"/>
      </w:pPr>
      <w:r>
        <w:rPr>
          <w:rStyle w:val="CharStyle8"/>
        </w:rPr>
        <w:t>Государственное бюджетное учреждение здравоохранения Республики Башкортостан Давлекановская центральная районная больница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60" w:right="0" w:firstLine="60"/>
        <w:jc w:val="left"/>
      </w:pPr>
      <w:r>
        <w:fldChar w:fldCharType="begin"/>
      </w:r>
      <w:r>
        <w:rPr/>
        <w:instrText> HYPERLINK "mailto:davlekan.crb@doctorrb.ru" </w:instrText>
      </w:r>
      <w:r>
        <w:fldChar w:fldCharType="separate"/>
      </w:r>
      <w:r>
        <w:rPr>
          <w:rStyle w:val="CharStyle8"/>
          <w:lang w:val="en-US" w:eastAsia="en-US"/>
        </w:rPr>
        <w:t>davlekan.crb@doctorrb.ru</w:t>
      </w:r>
      <w:r>
        <w:fldChar w:fldCharType="end"/>
      </w:r>
      <w:r>
        <w:rPr>
          <w:rStyle w:val="CharStyle8"/>
          <w:lang w:val="en-US" w:eastAsia="en-US"/>
        </w:rPr>
        <w:t xml:space="preserve"> </w:t>
      </w:r>
      <w:r>
        <w:fldChar w:fldCharType="begin"/>
      </w:r>
      <w:r>
        <w:rPr/>
        <w:instrText> HYPERLINK "mailto:urist.davlcrb@mail.ru" </w:instrText>
      </w:r>
      <w:r>
        <w:fldChar w:fldCharType="separate"/>
      </w:r>
      <w:r>
        <w:rPr>
          <w:rStyle w:val="CharStyle8"/>
          <w:lang w:val="en-US" w:eastAsia="en-US"/>
        </w:rPr>
        <w:t>urist.davlcrb@mail.ru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860" w:right="0" w:firstLine="60"/>
        <w:jc w:val="left"/>
      </w:pPr>
      <w:r>
        <w:rPr>
          <w:rStyle w:val="CharStyle8"/>
        </w:rPr>
        <w:t xml:space="preserve">ОБЩЕСТВО С ОГРАНИЧЕННОЙ ОТВЕТСТВЕННОСТЬЮ "ХИМФАРМ" </w:t>
      </w:r>
      <w:r>
        <w:fldChar w:fldCharType="begin"/>
      </w:r>
      <w:r>
        <w:rPr/>
        <w:instrText> HYPERLINK "mailto:himfarm136.vrn@yandex.ru" </w:instrText>
      </w:r>
      <w:r>
        <w:fldChar w:fldCharType="separate"/>
      </w:r>
      <w:r>
        <w:rPr>
          <w:rStyle w:val="CharStyle8"/>
          <w:lang w:val="en-US" w:eastAsia="en-US"/>
        </w:rPr>
        <w:t>himfarm136.vrn@yandex.ru</w:t>
      </w:r>
      <w:r>
        <w:fldChar w:fldCharType="end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8"/>
          <w:sz w:val="24"/>
          <w:szCs w:val="24"/>
        </w:rPr>
        <w:t>Решение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8"/>
          <w:b/>
          <w:bCs/>
        </w:rPr>
        <w:t>РЕШЕНИЕ № ТО 002/06/106-1500/2025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7176" w:val="left"/>
        </w:tabs>
        <w:bidi w:val="0"/>
        <w:spacing w:before="0" w:after="280"/>
        <w:ind w:left="0" w:right="0" w:firstLine="0"/>
        <w:jc w:val="left"/>
      </w:pPr>
      <w:r>
        <w:rPr>
          <w:rStyle w:val="CharStyle8"/>
        </w:rPr>
        <w:t>09 сентября 2025 года</w:t>
        <w:tab/>
        <w:t>г. Уфа, ул. Пушкина, 95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20"/>
        <w:jc w:val="both"/>
      </w:pPr>
      <w:r>
        <w:rPr>
          <w:rStyle w:val="CharStyle8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20"/>
        <w:jc w:val="both"/>
      </w:pPr>
      <w:r>
        <w:rPr>
          <w:rStyle w:val="CharStyle8"/>
        </w:rPr>
        <w:t>Председатель Комиссии – Врио начальника отдела контроля закупок Управления Федеральной антимонопольной службы по Республике Башкортостан – Агзамова Д.Р.;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8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left"/>
      </w:pPr>
      <w:r>
        <w:rPr>
          <w:rStyle w:val="CharStyle8"/>
        </w:rPr>
        <w:t>ведущий специалист-эксперт отдела контроля закупок – Зиганшин А.А.;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left"/>
      </w:pPr>
      <w:r>
        <w:rPr>
          <w:rStyle w:val="CharStyle8"/>
        </w:rPr>
        <w:t>специалист-эксперт отдела контроля закупок – Шарифуллин Т.А.;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8"/>
        </w:rPr>
        <w:t>Посредством видеоконференцсвязи: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left"/>
      </w:pPr>
      <w:r>
        <w:rPr>
          <w:rStyle w:val="CharStyle8"/>
          <w:b/>
          <w:bCs/>
        </w:rPr>
        <w:t>Заказчик</w:t>
      </w:r>
      <w:r>
        <w:rPr>
          <w:rStyle w:val="CharStyle8"/>
        </w:rPr>
        <w:t>: ГБУЗ РБ Давлекановская центральная районная больница;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860"/>
        <w:jc w:val="left"/>
      </w:pPr>
      <w:r>
        <w:rPr>
          <w:rStyle w:val="CharStyle8"/>
          <w:b/>
          <w:bCs/>
        </w:rPr>
        <w:t xml:space="preserve">Заявитель: </w:t>
      </w:r>
      <w:r>
        <w:rPr>
          <w:rStyle w:val="CharStyle8"/>
          <w:color w:val="333333"/>
        </w:rPr>
        <w:t>ООО «Химфарм».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8"/>
          <w:b/>
          <w:bCs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920"/>
        <w:jc w:val="both"/>
      </w:pPr>
      <w:r>
        <w:rPr>
          <w:rStyle w:val="CharStyle8"/>
        </w:rPr>
        <w:t xml:space="preserve">В адрес Управления Федеральной антимонопольной службы по Республике Башкортостан поступила жалоба от </w:t>
      </w:r>
      <w:r>
        <w:rPr>
          <w:rStyle w:val="CharStyle8"/>
          <w:color w:val="333333"/>
        </w:rPr>
        <w:t xml:space="preserve">ООО «Химфарм» </w:t>
      </w:r>
      <w:r>
        <w:rPr>
          <w:rStyle w:val="CharStyle8"/>
        </w:rPr>
        <w:t>(вх. 12958/25 от 05.09.2025) на действия Заказчика в лице ГБУЗ РБ Давлекановская центральная районная больница по закупке № 0301300001325000257 «Закупка лекарственных препаратов (Натрия хлорид) на 2025-2026 год».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8"/>
        </w:rPr>
        <w:t xml:space="preserve">По мнению Заявителя, Заказчиком в лице ГБУЗ РБ Давлекановская центральная районная больница нарушен Федеральный закон от 05.04.2013г. </w:t>
      </w:r>
      <w:r>
        <w:rPr>
          <w:rStyle w:val="CharStyle8"/>
          <w:lang w:val="en-US" w:eastAsia="en-US"/>
        </w:rPr>
        <w:t xml:space="preserve">№ 44- </w:t>
      </w:r>
      <w:r>
        <w:rPr>
          <w:rStyle w:val="CharStyle8"/>
        </w:rPr>
        <w:t xml:space="preserve">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Закон о контрактной системе), а именно жалоба на действия (бездействие) заказчика в части установленных положений извещения об осуществлении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8"/>
        </w:rPr>
        <w:t>Жалоба подана в соответствии с требованиями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8"/>
        </w:rPr>
        <w:t xml:space="preserve">Информация о поступлении жалобы в соответствии с ч.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106 </w:t>
      </w:r>
      <w:r>
        <w:rPr>
          <w:rStyle w:val="CharStyle8"/>
        </w:rPr>
        <w:t>Закона о контрактной системе размещена в единой информационной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8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</w:t>
      </w:r>
      <w:r>
        <w:rPr>
          <w:rStyle w:val="CharStyle8"/>
          <w:lang w:val="en-US" w:eastAsia="en-US"/>
        </w:rPr>
        <w:t xml:space="preserve">№ 0301300001325000257 </w:t>
      </w:r>
      <w:r>
        <w:rPr>
          <w:rStyle w:val="CharStyle8"/>
        </w:rPr>
        <w:t xml:space="preserve">«Закупка лекарственных препаратов (Натрия хлорид) на </w:t>
      </w:r>
      <w:r>
        <w:rPr>
          <w:rStyle w:val="CharStyle8"/>
          <w:lang w:val="en-US" w:eastAsia="en-US"/>
        </w:rPr>
        <w:t xml:space="preserve">2025-2026 </w:t>
      </w:r>
      <w:r>
        <w:rPr>
          <w:rStyle w:val="CharStyle8"/>
        </w:rPr>
        <w:t>год».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8"/>
        </w:rPr>
        <w:t xml:space="preserve">Комиссия Башкортостанского УФАС России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Комиссия) изучив и рассмотрев представленные материалы дела,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8"/>
          <w:lang w:val="en-US" w:eastAsia="en-US"/>
        </w:rPr>
        <w:t xml:space="preserve">27 </w:t>
      </w:r>
      <w:r>
        <w:rPr>
          <w:rStyle w:val="CharStyle8"/>
        </w:rPr>
        <w:t xml:space="preserve">августа </w:t>
      </w:r>
      <w:r>
        <w:rPr>
          <w:rStyle w:val="CharStyle8"/>
          <w:lang w:val="en-US" w:eastAsia="en-US"/>
        </w:rPr>
        <w:t xml:space="preserve">2025 </w:t>
      </w:r>
      <w:r>
        <w:rPr>
          <w:rStyle w:val="CharStyle8"/>
        </w:rPr>
        <w:t xml:space="preserve">года в Единой информационной системе в сфере закупок, Заказчиком опубликовано извещение о проведении электронного аукциона </w:t>
      </w:r>
      <w:r>
        <w:rPr>
          <w:rStyle w:val="CharStyle8"/>
          <w:lang w:val="en-US" w:eastAsia="en-US"/>
        </w:rPr>
        <w:t xml:space="preserve">№ 0301300001325000257 </w:t>
      </w:r>
      <w:r>
        <w:rPr>
          <w:rStyle w:val="CharStyle8"/>
        </w:rPr>
        <w:t xml:space="preserve">«Закупка лекарственных препаратов (Натрия хлорид) на </w:t>
      </w:r>
      <w:r>
        <w:rPr>
          <w:rStyle w:val="CharStyle8"/>
          <w:lang w:val="en-US" w:eastAsia="en-US"/>
        </w:rPr>
        <w:t>2025</w:t>
        <w:softHyphen/>
        <w:t xml:space="preserve">2026 </w:t>
      </w:r>
      <w:r>
        <w:rPr>
          <w:rStyle w:val="CharStyle8"/>
        </w:rPr>
        <w:t>год».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8"/>
        </w:rPr>
        <w:t xml:space="preserve">Начальная (максимальная) цена контракта: </w:t>
      </w:r>
      <w:r>
        <w:rPr>
          <w:rStyle w:val="CharStyle8"/>
          <w:lang w:val="en-US" w:eastAsia="en-US"/>
        </w:rPr>
        <w:t xml:space="preserve">26 199 600,62 </w:t>
      </w:r>
      <w:r>
        <w:rPr>
          <w:rStyle w:val="CharStyle8"/>
        </w:rPr>
        <w:t>рублей.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8"/>
        </w:rPr>
        <w:t xml:space="preserve">Дата окончания срока подачи заявок: </w:t>
      </w:r>
      <w:r>
        <w:rPr>
          <w:rStyle w:val="CharStyle8"/>
          <w:lang w:val="en-US" w:eastAsia="en-US"/>
        </w:rPr>
        <w:t>04.09.2025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8"/>
        </w:rPr>
        <w:t xml:space="preserve">Заявитель в первой части своей жалобы указывает на то, что в настоящем аукционе требования, указанные в Описании объекта закупки, являются обобщенными для всех позиции закупаемого товара. При этом применение именно нестандартного </w:t>
      </w:r>
      <w:r>
        <w:rPr>
          <w:rStyle w:val="CharStyle8"/>
          <w:lang w:val="en-US" w:eastAsia="en-US"/>
        </w:rPr>
        <w:t xml:space="preserve">(150 </w:t>
      </w:r>
      <w:r>
        <w:rPr>
          <w:rStyle w:val="CharStyle8"/>
        </w:rPr>
        <w:t xml:space="preserve">мл и </w:t>
      </w:r>
      <w:r>
        <w:rPr>
          <w:rStyle w:val="CharStyle8"/>
          <w:lang w:val="en-US" w:eastAsia="en-US"/>
        </w:rPr>
        <w:t xml:space="preserve">2500 </w:t>
      </w:r>
      <w:r>
        <w:rPr>
          <w:rStyle w:val="CharStyle8"/>
        </w:rPr>
        <w:t>мл) объема первичной упаковки обоснованно точно также, как и остальных позиций.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8"/>
        </w:rPr>
        <w:t>Наличие требования лекарственного препарата данных объемов наполнения первичной упаковки приводит к ограничению количества участников аукциона.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8"/>
        </w:rPr>
        <w:t xml:space="preserve">Заказчик в свою очередь указывает, что по позициям </w:t>
      </w:r>
      <w:r>
        <w:rPr>
          <w:rStyle w:val="CharStyle8"/>
          <w:lang w:val="en-US" w:eastAsia="en-US"/>
        </w:rPr>
        <w:t xml:space="preserve">№ 5 </w:t>
      </w:r>
      <w:r>
        <w:rPr>
          <w:rStyle w:val="CharStyle8"/>
        </w:rPr>
        <w:t xml:space="preserve">и </w:t>
      </w:r>
      <w:r>
        <w:rPr>
          <w:rStyle w:val="CharStyle8"/>
          <w:lang w:val="en-US" w:eastAsia="en-US"/>
        </w:rPr>
        <w:t xml:space="preserve">№ 6 </w:t>
      </w:r>
      <w:r>
        <w:rPr>
          <w:rStyle w:val="CharStyle8"/>
        </w:rPr>
        <w:t>Описания объекта закупки требуется:</w:t>
      </w:r>
    </w:p>
    <w:tbl>
      <w:tblPr>
        <w:tblOverlap w:val="never"/>
        <w:jc w:val="center"/>
        <w:tblLayout w:type="fixed"/>
      </w:tblPr>
      <w:tblGrid>
        <w:gridCol w:w="542"/>
        <w:gridCol w:w="2851"/>
        <w:gridCol w:w="3302"/>
        <w:gridCol w:w="1162"/>
        <w:gridCol w:w="1027"/>
        <w:gridCol w:w="926"/>
      </w:tblGrid>
      <w:tr>
        <w:trPr>
          <w:trHeight w:val="13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3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23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3"/>
                <w:b/>
                <w:bCs/>
                <w:sz w:val="24"/>
                <w:szCs w:val="24"/>
              </w:rPr>
              <w:t xml:space="preserve">Международное непатентованное наименований Наименование или химическое, </w:t>
            </w:r>
            <w:r>
              <w:rPr>
                <w:rStyle w:val="CharStyle23"/>
                <w:b/>
                <w:bCs/>
                <w:sz w:val="24"/>
                <w:szCs w:val="24"/>
                <w:u w:val="single"/>
              </w:rPr>
              <w:t>группировочное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9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3"/>
                <w:b/>
                <w:bCs/>
                <w:sz w:val="24"/>
                <w:szCs w:val="24"/>
              </w:rPr>
              <w:t xml:space="preserve">Лекарственная форма с указанием единицы измерения согласно ГОСТ </w:t>
            </w:r>
            <w:r>
              <w:rPr>
                <w:rStyle w:val="CharStyle23"/>
                <w:b/>
                <w:bCs/>
                <w:sz w:val="24"/>
                <w:szCs w:val="24"/>
                <w:lang w:val="en-US" w:eastAsia="en-US"/>
              </w:rPr>
              <w:t xml:space="preserve">8.417-2002 </w:t>
            </w:r>
            <w:r>
              <w:rPr>
                <w:rStyle w:val="CharStyle23"/>
                <w:b/>
                <w:bCs/>
                <w:sz w:val="24"/>
                <w:szCs w:val="24"/>
              </w:rPr>
              <w:t>или ОКЕИ*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54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3"/>
                <w:b/>
                <w:bCs/>
                <w:sz w:val="24"/>
                <w:szCs w:val="24"/>
              </w:rPr>
              <w:t>Дозировк 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7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3"/>
                <w:b/>
                <w:bCs/>
                <w:sz w:val="24"/>
                <w:szCs w:val="24"/>
              </w:rPr>
              <w:t>Единица измерен и 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3"/>
                <w:b/>
                <w:bCs/>
                <w:sz w:val="24"/>
                <w:szCs w:val="24"/>
              </w:rPr>
              <w:t>Количе ство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8"/>
                <w:szCs w:val="18"/>
              </w:rPr>
            </w:pPr>
            <w:r>
              <w:rPr>
                <w:rStyle w:val="CharStyle23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3"/>
                <w:sz w:val="18"/>
                <w:szCs w:val="18"/>
              </w:rPr>
              <w:t>НАТРИЯ ХЛОРИД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3"/>
                <w:sz w:val="18"/>
                <w:szCs w:val="18"/>
              </w:rPr>
              <w:t>РАСТВОР ДЛЯ ИНФУЗИЙ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3"/>
                <w:sz w:val="18"/>
                <w:szCs w:val="18"/>
                <w:lang w:val="en-US" w:eastAsia="en-US"/>
              </w:rPr>
              <w:t xml:space="preserve">9 </w:t>
            </w:r>
            <w:r>
              <w:rPr>
                <w:rStyle w:val="CharStyle23"/>
                <w:sz w:val="18"/>
                <w:szCs w:val="18"/>
              </w:rPr>
              <w:t xml:space="preserve">мг/мл, </w:t>
            </w:r>
            <w:r>
              <w:rPr>
                <w:rStyle w:val="CharStyle23"/>
                <w:sz w:val="18"/>
                <w:szCs w:val="18"/>
                <w:lang w:val="en-US" w:eastAsia="en-US"/>
              </w:rPr>
              <w:t xml:space="preserve">150 </w:t>
            </w:r>
            <w:r>
              <w:rPr>
                <w:rStyle w:val="CharStyle23"/>
                <w:sz w:val="18"/>
                <w:szCs w:val="18"/>
              </w:rPr>
              <w:t>мл.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3"/>
                <w:sz w:val="18"/>
                <w:szCs w:val="18"/>
              </w:rPr>
              <w:t>Миллили тр; куб. см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3"/>
                <w:sz w:val="18"/>
                <w:szCs w:val="18"/>
                <w:lang w:val="en-US" w:eastAsia="en-US"/>
              </w:rPr>
              <w:t>45000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42"/>
        <w:gridCol w:w="2851"/>
        <w:gridCol w:w="3302"/>
        <w:gridCol w:w="1162"/>
        <w:gridCol w:w="1027"/>
        <w:gridCol w:w="926"/>
      </w:tblGrid>
      <w:tr>
        <w:trPr>
          <w:trHeight w:val="6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8"/>
                <w:szCs w:val="18"/>
              </w:rPr>
            </w:pPr>
            <w:r>
              <w:rPr>
                <w:rStyle w:val="CharStyle23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3"/>
                <w:sz w:val="18"/>
                <w:szCs w:val="18"/>
              </w:rPr>
              <w:t>НАТРИЯ ХЛОРИД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3"/>
                <w:sz w:val="18"/>
                <w:szCs w:val="18"/>
              </w:rPr>
              <w:t>РАСТВОР ДЛЯ ИНФУЗИЙ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3"/>
                <w:sz w:val="18"/>
                <w:szCs w:val="18"/>
                <w:lang w:val="en-US" w:eastAsia="en-US"/>
              </w:rPr>
              <w:t xml:space="preserve">9 </w:t>
            </w:r>
            <w:r>
              <w:rPr>
                <w:rStyle w:val="CharStyle23"/>
                <w:sz w:val="18"/>
                <w:szCs w:val="18"/>
              </w:rPr>
              <w:t xml:space="preserve">мг/мл, </w:t>
            </w:r>
            <w:r>
              <w:rPr>
                <w:rStyle w:val="CharStyle23"/>
                <w:sz w:val="18"/>
                <w:szCs w:val="18"/>
                <w:lang w:val="en-US" w:eastAsia="en-US"/>
              </w:rPr>
              <w:t xml:space="preserve">25000 </w:t>
            </w:r>
            <w:r>
              <w:rPr>
                <w:rStyle w:val="CharStyle23"/>
                <w:sz w:val="18"/>
                <w:szCs w:val="18"/>
              </w:rPr>
              <w:t>мл.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3"/>
                <w:sz w:val="18"/>
                <w:szCs w:val="18"/>
              </w:rPr>
              <w:t xml:space="preserve">Миллили тр; куб. </w:t>
            </w:r>
            <w:r>
              <w:rPr>
                <w:rStyle w:val="CharStyle23"/>
                <w:b/>
                <w:bCs/>
                <w:sz w:val="18"/>
                <w:szCs w:val="18"/>
              </w:rPr>
              <w:t>см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3"/>
                <w:sz w:val="18"/>
                <w:szCs w:val="18"/>
                <w:lang w:val="en-US" w:eastAsia="en-US"/>
              </w:rPr>
              <w:t>212500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8"/>
        </w:rPr>
        <w:t xml:space="preserve">Описание объекта закупки (Приложение </w:t>
      </w:r>
      <w:r>
        <w:rPr>
          <w:rStyle w:val="CharStyle8"/>
          <w:lang w:val="en-US" w:eastAsia="en-US"/>
        </w:rPr>
        <w:t xml:space="preserve">№1 </w:t>
      </w:r>
      <w:r>
        <w:rPr>
          <w:rStyle w:val="CharStyle8"/>
        </w:rPr>
        <w:t xml:space="preserve">к Извещению) сформировано в соответствии с ст.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 xml:space="preserve">Закона о контрактной системе и Постановления Правительства РФ </w:t>
      </w:r>
      <w:r>
        <w:rPr>
          <w:rStyle w:val="CharStyle8"/>
          <w:lang w:val="en-US" w:eastAsia="en-US"/>
        </w:rPr>
        <w:t>N 1 J80.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8"/>
        </w:rPr>
        <w:t xml:space="preserve">Приложение </w:t>
      </w:r>
      <w:r>
        <w:rPr>
          <w:rStyle w:val="CharStyle8"/>
          <w:lang w:val="en-US" w:eastAsia="en-US"/>
        </w:rPr>
        <w:t xml:space="preserve">1. </w:t>
      </w:r>
      <w:r>
        <w:rPr>
          <w:rStyle w:val="CharStyle8"/>
        </w:rPr>
        <w:t xml:space="preserve">Описание объекта закупки учитывает Особенности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утвержденных Постановлением Правительства РФ </w:t>
      </w:r>
      <w:r>
        <w:rPr>
          <w:rStyle w:val="CharStyle8"/>
          <w:lang w:val="en-US" w:eastAsia="en-US"/>
        </w:rPr>
        <w:t>N 1380.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8"/>
        </w:rPr>
        <w:t xml:space="preserve">В соответствии с подпунктом "в" пункта </w:t>
      </w:r>
      <w:r>
        <w:rPr>
          <w:rStyle w:val="CharStyle8"/>
          <w:lang w:val="en-US" w:eastAsia="en-US"/>
        </w:rPr>
        <w:t xml:space="preserve">5 </w:t>
      </w:r>
      <w:r>
        <w:rPr>
          <w:rStyle w:val="CharStyle8"/>
        </w:rPr>
        <w:t xml:space="preserve">Постановления Правительства РФ от </w:t>
      </w:r>
      <w:r>
        <w:rPr>
          <w:rStyle w:val="CharStyle8"/>
          <w:lang w:val="en-US" w:eastAsia="en-US"/>
        </w:rPr>
        <w:t xml:space="preserve">15.11.2017 N 1380 </w:t>
      </w:r>
      <w:r>
        <w:rPr>
          <w:rStyle w:val="CharStyle8"/>
        </w:rPr>
        <w:t>при описании объекта закупки не допускается указывать объем наполнения первичной упаковки лекарственного препарата, за исключением растворов для инфузий.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8"/>
        </w:rPr>
        <w:t>В Описание объекта закупки установлены требования к объему наполнения первичной упаковки обусловлен объективными потребностями Заказчика, с учетом специфики осуществляемой деятельности (особенности назначений, численность больных, медико-экономическими характеристиками процесса приготовления лекарственного средства, недопущения излишнего расходования препарата и средств бюджетного учреждения.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8"/>
        </w:rPr>
        <w:t>Лекарственные средства, поставка которых является предметом аукциона, свободно обращаются на фармацевтическом рынке, требования Описания объекта закупки не ограничивают число участников размещения заказа.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8"/>
        </w:rPr>
        <w:t>Заказчик вправе определить в извещении об осуществлении закупки такие требования к качеству, техническим и функциональным характеристикам товара, которые соответствуют потребностям Заказчика с учетом специфики его деятельности.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8"/>
        </w:rPr>
        <w:t xml:space="preserve">Техническое задание электронного аукциона </w:t>
      </w:r>
      <w:r>
        <w:rPr>
          <w:rStyle w:val="CharStyle8"/>
          <w:lang w:val="en-US" w:eastAsia="en-US"/>
        </w:rPr>
        <w:t xml:space="preserve">№ 0301300001325000257 </w:t>
      </w:r>
      <w:r>
        <w:rPr>
          <w:rStyle w:val="CharStyle8"/>
        </w:rPr>
        <w:t xml:space="preserve">содержит качественные характеристики закупаемого товара, позволяющие определить соответствие закупаемых товаров установленным заказчиком требованиям. В нем отсутствуют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что свидетельствует о соблюдении Заказчиком требований ст.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8"/>
        </w:rPr>
        <w:t xml:space="preserve">Согласно ч.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8"/>
        </w:rPr>
        <w:t>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8"/>
        </w:rPr>
        <w:t xml:space="preserve">Далее, Заявитель в своей жалобе ссылается на то, что извещением о проведении закупки установлено преимущество в соответствии с ч.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30 </w:t>
      </w:r>
      <w:r>
        <w:rPr>
          <w:rStyle w:val="CharStyle8"/>
        </w:rPr>
        <w:t>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8"/>
        </w:rPr>
        <w:t>Заказчик в лице ГБУЗ РБ Давлекановская центральная районная больница просит отказать в удовлетворении жалобы Заявителя в полном объеме.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8"/>
        </w:rPr>
        <w:t xml:space="preserve">В соответствии с п.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ч.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30 </w:t>
      </w:r>
      <w:r>
        <w:rPr>
          <w:rStyle w:val="CharStyle8"/>
        </w:rPr>
        <w:t xml:space="preserve">Закона о контрактной системе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двадцать пять процентов совокупного годового объема закупок, рассчитанного с учетом ч. </w:t>
      </w:r>
      <w:r>
        <w:rPr>
          <w:rStyle w:val="CharStyle8"/>
          <w:lang w:val="en-US" w:eastAsia="en-US"/>
        </w:rPr>
        <w:t xml:space="preserve">1.1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30 </w:t>
      </w:r>
      <w:r>
        <w:rPr>
          <w:rStyle w:val="CharStyle8"/>
        </w:rPr>
        <w:t xml:space="preserve">Закона, при проведении открытых конкурентных способов определения поставщиков (подрядчиков, исполнителей), в которых участниками закупок являются только субъекты малого предпринимательства, социально ориентированные некоммерческие организации. При этом начальная (максимальная) цена контракта не должна превышать </w:t>
      </w:r>
      <w:r>
        <w:rPr>
          <w:rStyle w:val="CharStyle8"/>
          <w:b/>
          <w:bCs/>
        </w:rPr>
        <w:t>двадцать миллионов рублей.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8"/>
        </w:rPr>
        <w:t xml:space="preserve">При определении поставщиков (подрядчиков, исполнителей) способами, указанными в пункте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30 </w:t>
      </w:r>
      <w:r>
        <w:rPr>
          <w:rStyle w:val="CharStyle8"/>
        </w:rPr>
        <w:t>Закона о контрактной системе, в извещениях об осуществлении закупок устанавливается преимущество участникам закупок, которыми могут быть только субъекты малого предпринимательства, социально ориентированные некоммерческие организации.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8"/>
        </w:rPr>
        <w:t xml:space="preserve">Из требований извещения о проведении закупки, конкурсной документацией следует, что рассматриваемая закупка проводится исключительно среди субъектов малого предпринимательства, социально ориентированных некоммерческих организаций. Вместе с тем, начальная (максимальная) цена контракта составляет </w:t>
      </w:r>
      <w:r>
        <w:rPr>
          <w:rStyle w:val="CharStyle8"/>
          <w:lang w:val="en-US" w:eastAsia="en-US"/>
        </w:rPr>
        <w:t>2</w:t>
      </w:r>
      <w:r>
        <w:rPr>
          <w:rStyle w:val="CharStyle8"/>
          <w:b/>
          <w:bCs/>
          <w:lang w:val="en-US" w:eastAsia="en-US"/>
        </w:rPr>
        <w:t xml:space="preserve">6 199 600,62 </w:t>
      </w:r>
      <w:r>
        <w:rPr>
          <w:rStyle w:val="CharStyle8"/>
          <w:b/>
          <w:bCs/>
        </w:rPr>
        <w:t>рублей.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8"/>
        </w:rPr>
        <w:t xml:space="preserve">Таким образом, действия Заказчика нарушают требования пункта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30 </w:t>
      </w:r>
      <w:r>
        <w:rPr>
          <w:rStyle w:val="CharStyle8"/>
        </w:rPr>
        <w:t>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8"/>
        </w:rPr>
        <w:t xml:space="preserve">После изучения материалов дела, Комиссия усматривает в действиях Заказчика нарушение требований ст. </w:t>
      </w:r>
      <w:r>
        <w:rPr>
          <w:rStyle w:val="CharStyle8"/>
          <w:lang w:val="en-US" w:eastAsia="en-US"/>
        </w:rPr>
        <w:t xml:space="preserve">30 </w:t>
      </w:r>
      <w:r>
        <w:rPr>
          <w:rStyle w:val="CharStyle8"/>
        </w:rPr>
        <w:t>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8"/>
        </w:rPr>
        <w:t xml:space="preserve">Выявленные нарушения содержат признаки административного правонарушения, ответственность за которое предусмотрена ч. </w:t>
      </w:r>
      <w:r>
        <w:rPr>
          <w:rStyle w:val="CharStyle8"/>
          <w:lang w:val="en-US" w:eastAsia="en-US"/>
        </w:rPr>
        <w:t xml:space="preserve">5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7.30.1 </w:t>
      </w:r>
      <w:r>
        <w:rPr>
          <w:rStyle w:val="CharStyle8"/>
        </w:rPr>
        <w:t>Кодекса Российской Федерации об административных правонарушениях.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8"/>
        </w:rPr>
        <w:t xml:space="preserve">На основании вышеизложенного и руководствуясь ст.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 xml:space="preserve">Федерального закона от 05.04.2013г.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8"/>
          <w:b/>
          <w:bCs/>
          <w:color w:val="060606"/>
        </w:rPr>
        <w:t>РЕШИЛА: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2" w:val="left"/>
        </w:tabs>
        <w:bidi w:val="0"/>
        <w:spacing w:before="0" w:after="0"/>
        <w:ind w:left="0" w:right="0" w:firstLine="860"/>
        <w:jc w:val="both"/>
      </w:pPr>
      <w:r>
        <w:rPr>
          <w:rStyle w:val="CharStyle8"/>
          <w:color w:val="060606"/>
        </w:rPr>
        <w:t xml:space="preserve">Жалобу </w:t>
      </w:r>
      <w:r>
        <w:rPr>
          <w:rStyle w:val="CharStyle8"/>
        </w:rPr>
        <w:t xml:space="preserve">ООО "Химфарм" </w:t>
      </w:r>
      <w:r>
        <w:rPr>
          <w:rStyle w:val="CharStyle8"/>
          <w:color w:val="060606"/>
        </w:rPr>
        <w:t xml:space="preserve">признать </w:t>
      </w:r>
      <w:r>
        <w:rPr>
          <w:rStyle w:val="CharStyle8"/>
          <w:b/>
          <w:bCs/>
          <w:color w:val="060606"/>
        </w:rPr>
        <w:t>частично обоснованной</w:t>
      </w:r>
      <w:r>
        <w:rPr>
          <w:rStyle w:val="CharStyle8"/>
          <w:color w:val="060606"/>
        </w:rPr>
        <w:t>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/>
        <w:ind w:left="0" w:right="0" w:firstLine="860"/>
        <w:jc w:val="both"/>
      </w:pPr>
      <w:r>
        <w:rPr>
          <w:rStyle w:val="CharStyle8"/>
          <w:color w:val="060606"/>
        </w:rPr>
        <w:t xml:space="preserve">В действиях Заказчика установлено нарушение п. </w:t>
      </w:r>
      <w:r>
        <w:rPr>
          <w:rStyle w:val="CharStyle8"/>
          <w:color w:val="060606"/>
          <w:lang w:val="en-US" w:eastAsia="en-US"/>
        </w:rPr>
        <w:t xml:space="preserve">1 </w:t>
      </w:r>
      <w:r>
        <w:rPr>
          <w:rStyle w:val="CharStyle8"/>
          <w:color w:val="060606"/>
        </w:rPr>
        <w:t xml:space="preserve">ч. </w:t>
      </w:r>
      <w:r>
        <w:rPr>
          <w:rStyle w:val="CharStyle8"/>
          <w:color w:val="060606"/>
          <w:lang w:val="en-US" w:eastAsia="en-US"/>
        </w:rPr>
        <w:t xml:space="preserve">1 </w:t>
      </w:r>
      <w:r>
        <w:rPr>
          <w:rStyle w:val="CharStyle8"/>
          <w:color w:val="060606"/>
        </w:rPr>
        <w:t xml:space="preserve">ст. </w:t>
      </w:r>
      <w:r>
        <w:rPr>
          <w:rStyle w:val="CharStyle8"/>
          <w:color w:val="060606"/>
          <w:lang w:val="en-US" w:eastAsia="en-US"/>
        </w:rPr>
        <w:t xml:space="preserve">30 </w:t>
      </w:r>
      <w:r>
        <w:rPr>
          <w:rStyle w:val="CharStyle8"/>
          <w:color w:val="060606"/>
        </w:rPr>
        <w:t>Закона о контрактной системе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/>
        <w:ind w:left="0" w:right="0" w:firstLine="860"/>
        <w:jc w:val="both"/>
      </w:pPr>
      <w:r>
        <w:rPr>
          <w:rStyle w:val="CharStyle8"/>
          <w:color w:val="060606"/>
        </w:rPr>
        <w:t>Заказчику выдать предписание об устранении допущенных нарушений.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340"/>
        <w:ind w:left="0" w:right="0" w:firstLine="860"/>
        <w:jc w:val="both"/>
      </w:pPr>
      <w:r>
        <w:rPr>
          <w:rStyle w:val="CharStyle8"/>
        </w:rPr>
        <w:t>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860"/>
        <w:jc w:val="both"/>
      </w:pPr>
      <w:r>
        <w:rPr>
          <w:rStyle w:val="CharStyle8"/>
          <w:color w:val="060606"/>
        </w:rPr>
        <w:t>Решение может быть обжаловано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8"/>
        </w:rPr>
        <w:t>Председатель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both"/>
      </w:pPr>
      <w:r>
        <w:rPr>
          <w:rStyle w:val="CharStyle8"/>
        </w:rPr>
        <w:t>Члены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1701800" distB="0" distL="114300" distR="2107565" simplePos="0" relativeHeight="125829382" behindDoc="0" locked="0" layoutInCell="1" allowOverlap="1">
            <wp:simplePos x="0" y="0"/>
            <wp:positionH relativeFrom="page">
              <wp:posOffset>2531745</wp:posOffset>
            </wp:positionH>
            <wp:positionV relativeFrom="margin">
              <wp:posOffset>5958840</wp:posOffset>
            </wp:positionV>
            <wp:extent cx="389890" cy="59118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3043555</wp:posOffset>
                </wp:positionH>
                <wp:positionV relativeFrom="margin">
                  <wp:posOffset>6407150</wp:posOffset>
                </wp:positionV>
                <wp:extent cx="1426210" cy="10985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2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39.65000000000001pt;margin-top:504.5pt;width:112.3pt;height:8.6500000000000004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2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2995295</wp:posOffset>
                </wp:positionH>
                <wp:positionV relativeFrom="margin">
                  <wp:posOffset>6056630</wp:posOffset>
                </wp:positionV>
                <wp:extent cx="1917065" cy="28321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35.84999999999999pt;margin-top:476.90000000000003pt;width:150.95000000000002pt;height:22.300000000000001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5801995</wp:posOffset>
                </wp:positionH>
                <wp:positionV relativeFrom="margin">
                  <wp:posOffset>2734310</wp:posOffset>
                </wp:positionV>
                <wp:extent cx="1402080" cy="145415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2080" cy="1454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Агзамова Д.Р.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Зиганшин А.А.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Шарифуллин Т.А.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Д.Р. Агзамова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6.85000000000002pt;margin-top:215.30000000000001pt;width:110.40000000000001pt;height:114.5pt;z-index:-125829370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Агзамова Д.Р.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Зиганшин А.А.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4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Шарифуллин Т.А.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Д.Р. Агзамова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CharStyle8"/>
        </w:rPr>
        <w:t>Врио начальника отдела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Агзамова Диана Раяновна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2"/>
        </w:rPr>
        <w:t>Сертификат № 221</w:t>
      </w:r>
      <w:r>
        <w:rPr>
          <w:rStyle w:val="CharStyle32"/>
          <w:lang w:val="en-US" w:eastAsia="en-US"/>
        </w:rPr>
        <w:t>39E6FCE978F1DC93971</w:t>
      </w:r>
      <w:r>
        <w:rPr>
          <w:rStyle w:val="CharStyle32"/>
        </w:rPr>
        <w:t>1</w:t>
      </w:r>
      <w:r>
        <w:rPr>
          <w:rStyle w:val="CharStyle32"/>
          <w:lang w:val="en-US" w:eastAsia="en-US"/>
        </w:rPr>
        <w:t>A8E7A69D9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right="0" w:firstLine="0"/>
        <w:jc w:val="left"/>
      </w:pPr>
      <w:r>
        <w:rPr>
          <w:rStyle w:val="CharStyle32"/>
        </w:rPr>
        <w:t>Действителен с 09.06.2025 по 02.09.2026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Исп.Шарифуллин Т.А. тел.(347) 216-33-54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1073" w:right="538" w:bottom="1243" w:left="1104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9996170</wp:posOffset>
              </wp:positionV>
              <wp:extent cx="734695" cy="12509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2025-10313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99999999999999pt;margin-top:787.10000000000002pt;width:57.8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2025-10313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9966960</wp:posOffset>
              </wp:positionV>
              <wp:extent cx="734695" cy="12509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2025-10313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899999999999999pt;margin-top:784.80000000000007pt;width:57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2025-10313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60606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3333"/>
      <w:sz w:val="12"/>
      <w:szCs w:val="12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Body text (5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3">
    <w:name w:val="Other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2">
    <w:name w:val="Body text (3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333333"/>
      <w:sz w:val="13"/>
      <w:szCs w:val="13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3333"/>
      <w:sz w:val="12"/>
      <w:szCs w:val="12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Body text (5)"/>
    <w:basedOn w:val="Normal"/>
    <w:link w:val="CharStyle1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2">
    <w:name w:val="Other"/>
    <w:basedOn w:val="Normal"/>
    <w:link w:val="CharStyle2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1">
    <w:name w:val="Body text (3)"/>
    <w:basedOn w:val="Normal"/>
    <w:link w:val="CharStyle32"/>
    <w:pPr>
      <w:widowControl w:val="0"/>
      <w:shd w:val="clear" w:color="auto" w:fill="auto"/>
      <w:spacing w:after="99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33333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