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2,09.2025</w:t>
      </w:r>
      <w:r>
        <w:rPr>
          <w:rStyle w:val="CharStyle10"/>
          <w:u w:val="none"/>
        </w:rPr>
        <w:tab/>
      </w:r>
      <w:r>
        <w:fldChar w:fldCharType="end"/>
      </w:r>
      <w:r>
        <w:rPr>
          <w:rStyle w:val="CharStyle10"/>
          <w:u w:val="none"/>
        </w:rPr>
        <w:t xml:space="preserve">№ </w:t>
      </w:r>
      <w:r>
        <w:rPr>
          <w:rStyle w:val="CharStyle10"/>
        </w:rPr>
        <w:t>36656/25</w:t>
      </w:r>
      <w:bookmarkEnd w:id="0"/>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Times New Roman" w:eastAsia="Times New Roman" w:hAnsi="Times New Roman" w:cs="Times New Roman"/>
          <w:color w:val="46609A"/>
          <w:sz w:val="19"/>
          <w:szCs w:val="19"/>
        </w:rPr>
        <w:t xml:space="preserve">На№  от</w:t>
      </w:r>
    </w:p>
    <w:p>
      <w:pPr>
        <w:widowControl w:val="0"/>
        <w:jc w:val="center"/>
        <w:rPr>
          <w:sz w:val="2"/>
          <w:szCs w:val="2"/>
        </w:rPr>
      </w:pPr>
      <w:r>
        <w:drawing>
          <wp:inline>
            <wp:extent cx="2597150" cy="231775"/>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231775"/>
                    </a:xfrm>
                    <a:prstGeom prst="rect"/>
                  </pic:spPr>
                </pic:pic>
              </a:graphicData>
            </a:graphic>
          </wp:inline>
        </w:drawing>
      </w:r>
    </w:p>
    <w:p>
      <w:pPr>
        <w:pStyle w:val="Style15"/>
        <w:keepNext w:val="0"/>
        <w:keepLines w:val="0"/>
        <w:widowControl w:val="0"/>
        <w:shd w:val="clear" w:color="auto" w:fill="auto"/>
        <w:bidi w:val="0"/>
        <w:spacing w:before="0" w:after="280" w:line="240" w:lineRule="auto"/>
        <w:ind w:left="0" w:right="0" w:firstLine="0"/>
        <w:jc w:val="left"/>
      </w:pPr>
      <w:r>
        <w:rPr>
          <w:rStyle w:val="CharStyle16"/>
        </w:rPr>
        <w:t xml:space="preserve">ООО КБ «Кубань Кредит» </w:t>
      </w:r>
      <w:r>
        <w:rPr>
          <w:rStyle w:val="CharStyle16"/>
          <w:lang w:val="en-US" w:eastAsia="en-US"/>
        </w:rPr>
        <w:t>bank@kk.bank</w:t>
      </w:r>
    </w:p>
    <w:p>
      <w:pPr>
        <w:pStyle w:val="Style15"/>
        <w:keepNext w:val="0"/>
        <w:keepLines w:val="0"/>
        <w:widowControl w:val="0"/>
        <w:shd w:val="clear" w:color="auto" w:fill="auto"/>
        <w:bidi w:val="0"/>
        <w:spacing w:before="0" w:after="280" w:line="240" w:lineRule="auto"/>
        <w:ind w:left="0" w:right="0" w:firstLine="0"/>
        <w:jc w:val="left"/>
      </w:pPr>
      <w:r>
        <w:rPr>
          <w:rStyle w:val="CharStyle16"/>
        </w:rPr>
        <w:t xml:space="preserve">ИП Дума А.В. </w:t>
      </w:r>
      <w:r>
        <w:fldChar w:fldCharType="begin"/>
      </w:r>
      <w:r>
        <w:rPr/>
        <w:instrText> HYPERLINK "mailto:ipdumaav@mai.ru" </w:instrText>
      </w:r>
      <w:r>
        <w:fldChar w:fldCharType="separate"/>
      </w:r>
      <w:r>
        <w:rPr>
          <w:rStyle w:val="CharStyle16"/>
          <w:lang w:val="en-US" w:eastAsia="en-US"/>
        </w:rPr>
        <w:t>ipdumaav@mai.ru</w:t>
      </w:r>
      <w:r>
        <w:fldChar w:fldCharType="end"/>
      </w:r>
    </w:p>
    <w:p>
      <w:pPr>
        <w:pStyle w:val="Style15"/>
        <w:keepNext w:val="0"/>
        <w:keepLines w:val="0"/>
        <w:widowControl w:val="0"/>
        <w:shd w:val="clear" w:color="auto" w:fill="auto"/>
        <w:bidi w:val="0"/>
        <w:spacing w:before="0" w:after="0" w:line="240" w:lineRule="auto"/>
        <w:ind w:left="0" w:right="0" w:firstLine="0"/>
        <w:jc w:val="left"/>
      </w:pPr>
      <w:r>
        <w:rPr>
          <w:rStyle w:val="CharStyle16"/>
        </w:rPr>
        <w:t>ГУП «Мосгортранс»</w:t>
      </w:r>
    </w:p>
    <w:p>
      <w:pPr>
        <w:pStyle w:val="Style15"/>
        <w:keepNext w:val="0"/>
        <w:keepLines w:val="0"/>
        <w:widowControl w:val="0"/>
        <w:shd w:val="clear" w:color="auto" w:fill="auto"/>
        <w:bidi w:val="0"/>
        <w:spacing w:before="0" w:after="280" w:line="240" w:lineRule="auto"/>
        <w:ind w:left="0" w:right="0" w:firstLine="0"/>
        <w:jc w:val="left"/>
      </w:pPr>
      <w:r>
        <w:fldChar w:fldCharType="begin"/>
      </w:r>
      <w:r>
        <w:rPr/>
        <w:instrText> HYPERLINK "mailto:PuzyrevaYS1@transport.mos.ru" </w:instrText>
      </w:r>
      <w:r>
        <w:fldChar w:fldCharType="separate"/>
      </w:r>
      <w:r>
        <w:rPr>
          <w:rStyle w:val="CharStyle16"/>
          <w:lang w:val="en-US" w:eastAsia="en-US"/>
        </w:rPr>
        <w:t>PuzyrevaYS1@transport.mos.ru</w:t>
      </w:r>
      <w:r>
        <w:fldChar w:fldCharType="end"/>
      </w:r>
    </w:p>
    <w:p>
      <w:pPr>
        <w:pStyle w:val="Style15"/>
        <w:keepNext w:val="0"/>
        <w:keepLines w:val="0"/>
        <w:widowControl w:val="0"/>
        <w:shd w:val="clear" w:color="auto" w:fill="auto"/>
        <w:bidi w:val="0"/>
        <w:spacing w:before="0" w:after="280" w:line="240" w:lineRule="auto"/>
        <w:ind w:left="0" w:right="0" w:firstLine="0"/>
        <w:jc w:val="left"/>
      </w:pPr>
      <w:r>
        <w:rPr>
          <w:rStyle w:val="CharStyle16"/>
        </w:rPr>
        <w:t xml:space="preserve">АО«ЕЭТП» </w:t>
      </w:r>
      <w:r>
        <w:fldChar w:fldCharType="begin"/>
      </w:r>
      <w:r>
        <w:rPr/>
        <w:instrText> HYPERLINK "mailto:ko@roseltorg.ru" </w:instrText>
      </w:r>
      <w:r>
        <w:fldChar w:fldCharType="separate"/>
      </w:r>
      <w:r>
        <w:rPr>
          <w:rStyle w:val="CharStyle16"/>
          <w:lang w:val="en-US" w:eastAsia="en-US"/>
        </w:rPr>
        <w:t>ko@roseltorg.ru</w:t>
      </w:r>
      <w:r>
        <w:fldChar w:fldCharType="end"/>
      </w:r>
    </w:p>
    <w:p>
      <w:pPr>
        <w:pStyle w:val="Style15"/>
        <w:keepNext w:val="0"/>
        <w:keepLines w:val="0"/>
        <w:widowControl w:val="0"/>
        <w:shd w:val="clear" w:color="auto" w:fill="auto"/>
        <w:bidi w:val="0"/>
        <w:spacing w:before="0" w:after="0" w:line="240" w:lineRule="auto"/>
        <w:ind w:left="0" w:right="0" w:firstLine="0"/>
        <w:jc w:val="left"/>
      </w:pPr>
      <w:r>
        <w:rPr>
          <w:rStyle w:val="CharStyle16"/>
        </w:rPr>
        <w:t>ГКУ «ДТЗ»</w:t>
      </w:r>
    </w:p>
    <w:p>
      <w:pPr>
        <w:pStyle w:val="Style15"/>
        <w:keepNext w:val="0"/>
        <w:keepLines w:val="0"/>
        <w:widowControl w:val="0"/>
        <w:shd w:val="clear" w:color="auto" w:fill="auto"/>
        <w:bidi w:val="0"/>
        <w:spacing w:before="0" w:after="0" w:line="240" w:lineRule="auto"/>
        <w:ind w:left="0" w:right="0" w:firstLine="0"/>
        <w:jc w:val="lef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294" w:right="1813" w:bottom="708" w:left="1135" w:header="0" w:footer="3" w:gutter="0"/>
          <w:pgNumType w:start="1"/>
          <w:cols w:num="2" w:space="720" w:equalWidth="0">
            <w:col w:w="4099" w:space="1166"/>
            <w:col w:w="3686"/>
          </w:cols>
          <w:noEndnote/>
          <w:titlePg/>
          <w:rtlGutter w:val="0"/>
          <w:docGrid w:linePitch="360"/>
        </w:sectPr>
      </w:pPr>
      <w:r>
        <w:fldChar w:fldCharType="begin"/>
      </w:r>
      <w:r>
        <w:rPr/>
        <w:instrText> HYPERLINK "mailto:dtz-torgi@transport.mos.ru" </w:instrText>
      </w:r>
      <w:r>
        <w:fldChar w:fldCharType="separate"/>
      </w:r>
      <w:r>
        <w:rPr>
          <w:rStyle w:val="CharStyle16"/>
          <w:lang w:val="en-US" w:eastAsia="en-US"/>
        </w:rPr>
        <w:t>dtz-torgi@transport.mos.ru</w:t>
      </w:r>
      <w:r>
        <w:fldChar w:fldCharType="end"/>
      </w:r>
    </w:p>
    <w:p>
      <w:pPr>
        <w:widowControl w:val="0"/>
        <w:spacing w:line="122" w:lineRule="exact"/>
        <w:rPr>
          <w:sz w:val="10"/>
          <w:szCs w:val="10"/>
        </w:rPr>
      </w:pPr>
    </w:p>
    <w:p>
      <w:pPr>
        <w:widowControl w:val="0"/>
        <w:spacing w:line="1" w:lineRule="exact"/>
        <w:sectPr>
          <w:footnotePr>
            <w:pos w:val="pageBottom"/>
            <w:numFmt w:val="decimal"/>
            <w:numRestart w:val="continuous"/>
          </w:footnotePr>
          <w:type w:val="continuous"/>
          <w:pgSz w:w="11900" w:h="16840"/>
          <w:pgMar w:top="502" w:right="0" w:bottom="953" w:left="0" w:header="0" w:footer="3" w:gutter="0"/>
          <w:cols w:space="720"/>
          <w:noEndnote/>
          <w:rtlGutter w:val="0"/>
          <w:docGrid w:linePitch="360"/>
        </w:sectPr>
      </w:pPr>
    </w:p>
    <w:p>
      <w:pPr>
        <w:pStyle w:val="Style15"/>
        <w:keepNext w:val="0"/>
        <w:keepLines w:val="0"/>
        <w:widowControl w:val="0"/>
        <w:shd w:val="clear" w:color="auto" w:fill="auto"/>
        <w:bidi w:val="0"/>
        <w:spacing w:before="0" w:after="0" w:line="240" w:lineRule="auto"/>
        <w:ind w:left="0" w:right="0" w:firstLine="0"/>
        <w:jc w:val="center"/>
      </w:pPr>
      <w:r>
        <w:rPr>
          <w:rStyle w:val="CharStyle16"/>
          <w:b/>
          <w:bCs/>
        </w:rPr>
        <w:t>РЕШЕНИЕ</w:t>
      </w:r>
    </w:p>
    <w:p>
      <w:pPr>
        <w:pStyle w:val="Style15"/>
        <w:keepNext w:val="0"/>
        <w:keepLines w:val="0"/>
        <w:widowControl w:val="0"/>
        <w:shd w:val="clear" w:color="auto" w:fill="auto"/>
        <w:tabs>
          <w:tab w:pos="8952" w:val="left"/>
        </w:tabs>
        <w:bidi w:val="0"/>
        <w:spacing w:before="0" w:after="0" w:line="240" w:lineRule="auto"/>
        <w:ind w:left="0" w:right="0" w:firstLine="0"/>
        <w:jc w:val="center"/>
      </w:pPr>
      <w:r>
        <w:rPr>
          <w:rStyle w:val="CharStyle16"/>
          <w:b/>
          <w:bCs/>
        </w:rPr>
        <w:t>по делу №077/06/106-11079/2025 о нарушении</w:t>
        <w:br/>
        <w:t>законодательства о контрактной системе</w:t>
        <w:br/>
        <w:t>09.09.2025</w:t>
        <w:tab/>
        <w:t>г. Москва</w:t>
      </w:r>
    </w:p>
    <w:p>
      <w:pPr>
        <w:pStyle w:val="Style15"/>
        <w:keepNext w:val="0"/>
        <w:keepLines w:val="0"/>
        <w:widowControl w:val="0"/>
        <w:shd w:val="clear" w:color="auto" w:fill="auto"/>
        <w:bidi w:val="0"/>
        <w:spacing w:before="0" w:after="0" w:line="240" w:lineRule="auto"/>
        <w:ind w:left="0" w:right="0" w:firstLine="700"/>
        <w:jc w:val="both"/>
      </w:pPr>
      <w:r>
        <w:rPr>
          <w:rStyle w:val="CharStyle16"/>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5"/>
        <w:keepNext w:val="0"/>
        <w:keepLines w:val="0"/>
        <w:widowControl w:val="0"/>
        <w:shd w:val="clear" w:color="auto" w:fill="auto"/>
        <w:bidi w:val="0"/>
        <w:spacing w:before="0" w:after="0" w:line="257" w:lineRule="auto"/>
        <w:ind w:left="0" w:right="0" w:firstLine="700"/>
        <w:jc w:val="both"/>
      </w:pPr>
      <w:r>
        <w:rPr>
          <w:rStyle w:val="CharStyle16"/>
        </w:rPr>
        <w:t>Председательствующего — главного специалиста-эксперта отдела обжалования государственных закупок Е.Д. Мартьяновой,</w:t>
      </w:r>
    </w:p>
    <w:p>
      <w:pPr>
        <w:pStyle w:val="Style15"/>
        <w:keepNext w:val="0"/>
        <w:keepLines w:val="0"/>
        <w:widowControl w:val="0"/>
        <w:shd w:val="clear" w:color="auto" w:fill="auto"/>
        <w:bidi w:val="0"/>
        <w:spacing w:before="0" w:after="0" w:line="257" w:lineRule="auto"/>
        <w:ind w:left="0" w:right="0" w:firstLine="700"/>
        <w:jc w:val="both"/>
      </w:pPr>
      <w:r>
        <w:rPr>
          <w:rStyle w:val="CharStyle16"/>
        </w:rPr>
        <w:t>Членов Комиссии:</w:t>
      </w:r>
    </w:p>
    <w:p>
      <w:pPr>
        <w:pStyle w:val="Style15"/>
        <w:keepNext w:val="0"/>
        <w:keepLines w:val="0"/>
        <w:widowControl w:val="0"/>
        <w:shd w:val="clear" w:color="auto" w:fill="auto"/>
        <w:bidi w:val="0"/>
        <w:spacing w:before="0" w:after="0" w:line="257" w:lineRule="auto"/>
        <w:ind w:left="0" w:right="0" w:firstLine="700"/>
        <w:jc w:val="both"/>
      </w:pPr>
      <w:r>
        <w:rPr>
          <w:rStyle w:val="CharStyle16"/>
        </w:rPr>
        <w:t>Специалиста-эксперта отдела обжалования государственных закупок А.А.Леоновой,</w:t>
      </w:r>
    </w:p>
    <w:p>
      <w:pPr>
        <w:pStyle w:val="Style15"/>
        <w:keepNext w:val="0"/>
        <w:keepLines w:val="0"/>
        <w:widowControl w:val="0"/>
        <w:shd w:val="clear" w:color="auto" w:fill="auto"/>
        <w:bidi w:val="0"/>
        <w:spacing w:before="0" w:after="0" w:line="257" w:lineRule="auto"/>
        <w:ind w:left="0" w:right="0" w:firstLine="700"/>
        <w:jc w:val="both"/>
      </w:pPr>
      <w:r>
        <w:rPr>
          <w:rStyle w:val="CharStyle16"/>
        </w:rPr>
        <w:t>Специалиста-эксперта отдела обжалования государственных закупок А.И.Рахматуллаева,</w:t>
      </w:r>
    </w:p>
    <w:p>
      <w:pPr>
        <w:pStyle w:val="Style15"/>
        <w:keepNext w:val="0"/>
        <w:keepLines w:val="0"/>
        <w:widowControl w:val="0"/>
        <w:shd w:val="clear" w:color="auto" w:fill="auto"/>
        <w:bidi w:val="0"/>
        <w:spacing w:before="0" w:after="0" w:line="240" w:lineRule="auto"/>
        <w:ind w:left="0" w:right="0" w:firstLine="700"/>
        <w:jc w:val="both"/>
      </w:pPr>
      <w:r>
        <w:rPr>
          <w:rStyle w:val="CharStyle16"/>
        </w:rPr>
        <w:t>рассмотрение жалобы проводилось дистанционно (посредством видео</w:t>
        <w:softHyphen/>
        <w:t>конференц-связи),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при участии представителей:</w:t>
      </w:r>
    </w:p>
    <w:p>
      <w:pPr>
        <w:pStyle w:val="Style15"/>
        <w:keepNext w:val="0"/>
        <w:keepLines w:val="0"/>
        <w:widowControl w:val="0"/>
        <w:shd w:val="clear" w:color="auto" w:fill="auto"/>
        <w:bidi w:val="0"/>
        <w:spacing w:before="0" w:after="0" w:line="240" w:lineRule="auto"/>
        <w:ind w:left="0" w:right="0" w:firstLine="700"/>
        <w:jc w:val="both"/>
      </w:pPr>
      <w:r>
        <w:rPr>
          <w:rStyle w:val="CharStyle16"/>
        </w:rPr>
        <w:t>ГКУ «ДТЗ»: О.С. Гавриловой (по доверенности №ДТЗ-04-01-01-01/25 от 22.01.2025),</w:t>
      </w:r>
    </w:p>
    <w:p>
      <w:pPr>
        <w:pStyle w:val="Style15"/>
        <w:keepNext w:val="0"/>
        <w:keepLines w:val="0"/>
        <w:widowControl w:val="0"/>
        <w:shd w:val="clear" w:color="auto" w:fill="auto"/>
        <w:bidi w:val="0"/>
        <w:spacing w:before="0" w:after="0" w:line="240" w:lineRule="auto"/>
        <w:ind w:left="0" w:right="0" w:firstLine="700"/>
        <w:jc w:val="both"/>
      </w:pPr>
      <w:r>
        <w:rPr>
          <w:rStyle w:val="CharStyle16"/>
        </w:rPr>
        <w:t>ИП Дума А.В.: А.В. Дума, О.В. Бульбич (по доверенности №б/н от 05.09.2025), в отсутствии представителей ГУП «Мосгортранс», ООО КБ «Кубань Кредит» о времени и порядке заседания Комиссии Управления уведомленных надлежащим образом посредством размещения информации в Единой информационной системе, рассмотрев жалобу ИП Дума А.В. (далее — Заявитель) на действия ГУП «Мосгортранс» (далее — Заказчик) при проведении электронного аукциона на право заключения государственного контракта на поставку расходных материалов для печати (Закупка №0373200082125000472) (далее – электронный аукцион, аукцион) в соответствии с Федеральным законом от 05.04.2013 № 44-ФЗ</w:t>
      </w:r>
    </w:p>
    <w:p>
      <w:pPr>
        <w:widowControl w:val="0"/>
        <w:spacing w:after="596" w:line="1" w:lineRule="exact"/>
      </w:pPr>
      <w:r>
        <w:drawing>
          <wp:anchor distT="0" distB="0" distL="0" distR="0" simplePos="0" relativeHeight="62914696" behindDoc="1" locked="0" layoutInCell="1" allowOverlap="1">
            <wp:simplePos x="0" y="0"/>
            <wp:positionH relativeFrom="page">
              <wp:posOffset>717550</wp:posOffset>
            </wp:positionH>
            <wp:positionV relativeFrom="paragraph">
              <wp:posOffset>88900</wp:posOffset>
            </wp:positionV>
            <wp:extent cx="1511935" cy="292735"/>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3"/>
                    <a:stretch/>
                  </pic:blipFill>
                  <pic:spPr>
                    <a:xfrm>
                      <a:ext cx="1511935" cy="292735"/>
                    </a:xfrm>
                    <a:prstGeom prst="rect"/>
                  </pic:spPr>
                </pic:pic>
              </a:graphicData>
            </a:graphic>
          </wp:anchor>
        </w:drawing>
      </w:r>
    </w:p>
    <w:p>
      <w:pPr>
        <w:pStyle w:val="Style15"/>
        <w:keepNext w:val="0"/>
        <w:keepLines w:val="0"/>
        <w:widowControl w:val="0"/>
        <w:shd w:val="clear" w:color="auto" w:fill="auto"/>
        <w:bidi w:val="0"/>
        <w:spacing w:before="0" w:after="240" w:line="240" w:lineRule="auto"/>
        <w:ind w:left="0" w:right="0" w:firstLine="0"/>
        <w:jc w:val="both"/>
      </w:pPr>
      <w:r>
        <w:rPr>
          <w:rStyle w:val="CharStyle16"/>
        </w:rPr>
        <w:t xml:space="preserve">«О контрактной системе в сфере закупок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Закон о контрактной системе),</w:t>
      </w:r>
    </w:p>
    <w:p>
      <w:pPr>
        <w:pStyle w:val="Style15"/>
        <w:keepNext w:val="0"/>
        <w:keepLines w:val="0"/>
        <w:widowControl w:val="0"/>
        <w:shd w:val="clear" w:color="auto" w:fill="auto"/>
        <w:bidi w:val="0"/>
        <w:spacing w:before="0" w:after="280" w:line="240" w:lineRule="auto"/>
        <w:ind w:left="0" w:right="0" w:firstLine="0"/>
        <w:jc w:val="center"/>
      </w:pPr>
      <w:r>
        <w:rPr>
          <w:rStyle w:val="CharStyle16"/>
          <w:b/>
          <w:bCs/>
        </w:rPr>
        <w:t>УСТАНОВИЛА: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Московское УФАС России поступила жалоба Заявителя на действия Заказчика при проведении вышеуказанного аукциона.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доводам жалобы Заказчиком неправомерно размещен протокол признания участника уклонившимся от заключения контракта от </w:t>
      </w:r>
      <w:r>
        <w:rPr>
          <w:rStyle w:val="CharStyle16"/>
          <w:lang w:val="en-US" w:eastAsia="en-US"/>
        </w:rPr>
        <w:t xml:space="preserve">02.09.2025 </w:t>
      </w:r>
      <w:r>
        <w:rPr>
          <w:rStyle w:val="CharStyle16"/>
        </w:rPr>
        <w:t>№ППУ20_1 в связи с предоставлением в качестве обеспечения исполнения контракта независимой гарантии, содержащей недостоверные сведения, а именно:</w:t>
      </w:r>
    </w:p>
    <w:p>
      <w:pPr>
        <w:pStyle w:val="Style15"/>
        <w:keepNext w:val="0"/>
        <w:keepLines w:val="0"/>
        <w:widowControl w:val="0"/>
        <w:shd w:val="clear" w:color="auto" w:fill="auto"/>
        <w:bidi w:val="0"/>
        <w:spacing w:before="0" w:after="0" w:line="240" w:lineRule="auto"/>
        <w:ind w:left="0" w:right="0" w:firstLine="720"/>
        <w:jc w:val="both"/>
      </w:pPr>
      <w:r>
        <w:rPr>
          <w:rStyle w:val="CharStyle16"/>
          <w:i/>
          <w:iCs/>
        </w:rPr>
        <w:t xml:space="preserve">«В качестве обеспечения исполнения контракта участником представлена независимая гарантия от </w:t>
      </w:r>
      <w:r>
        <w:rPr>
          <w:rStyle w:val="CharStyle16"/>
          <w:i/>
          <w:iCs/>
          <w:lang w:val="en-US" w:eastAsia="en-US"/>
        </w:rPr>
        <w:t xml:space="preserve">01.09.2025 №465144, </w:t>
      </w:r>
      <w:r>
        <w:rPr>
          <w:rStyle w:val="CharStyle16"/>
          <w:i/>
          <w:iCs/>
        </w:rPr>
        <w:t xml:space="preserve">выданная Обществом с ограниченной ответственностью Коммерческий банк «Кубань Кредит» (далее </w:t>
      </w:r>
      <w:r>
        <w:rPr>
          <w:rStyle w:val="CharStyle16"/>
          <w:i/>
          <w:iCs/>
          <w:lang w:val="en-US" w:eastAsia="en-US"/>
        </w:rPr>
        <w:t xml:space="preserve">– </w:t>
      </w:r>
      <w:r>
        <w:rPr>
          <w:rStyle w:val="CharStyle16"/>
          <w:i/>
          <w:iCs/>
        </w:rPr>
        <w:t xml:space="preserve">гарантия) на сумму </w:t>
      </w:r>
      <w:r>
        <w:rPr>
          <w:rStyle w:val="CharStyle16"/>
          <w:i/>
          <w:iCs/>
          <w:lang w:val="en-US" w:eastAsia="en-US"/>
        </w:rPr>
        <w:t xml:space="preserve">2 995 200 </w:t>
      </w:r>
      <w:r>
        <w:rPr>
          <w:rStyle w:val="CharStyle16"/>
          <w:i/>
          <w:iCs/>
        </w:rPr>
        <w:t xml:space="preserve">(Два миллиона девятьсот девяносто пять тысяч двести) рублей </w:t>
      </w:r>
      <w:r>
        <w:rPr>
          <w:rStyle w:val="CharStyle16"/>
          <w:i/>
          <w:iCs/>
          <w:lang w:val="en-US" w:eastAsia="en-US"/>
        </w:rPr>
        <w:t xml:space="preserve">00 </w:t>
      </w:r>
      <w:r>
        <w:rPr>
          <w:rStyle w:val="CharStyle16"/>
          <w:i/>
          <w:iCs/>
        </w:rPr>
        <w:t xml:space="preserve">копеек. Пункт </w:t>
      </w:r>
      <w:r>
        <w:rPr>
          <w:rStyle w:val="CharStyle16"/>
          <w:i/>
          <w:iCs/>
          <w:lang w:val="en-US" w:eastAsia="en-US"/>
        </w:rPr>
        <w:t xml:space="preserve">17.4 </w:t>
      </w:r>
      <w:r>
        <w:rPr>
          <w:rStyle w:val="CharStyle16"/>
          <w:i/>
          <w:iCs/>
        </w:rPr>
        <w:t xml:space="preserve">гарантии содержит следующее условие: «изменения, связанные с увеличением суммы и (или) срока действия независимой гарантии, внесением правок в целях обеспечения соответствия независимой гарантии условиям документации о закупке, в том числе, в случае отказа бенефициара от принятия независимой гарантии, а также иные изменения, не ухудшающие положение бенифициара, вступают в силу в дату выпуска гарантом изменений в независимую гарантию, согласие бенефициара при этом не требуется». Условие, указанное в подпункте пункте </w:t>
      </w:r>
      <w:r>
        <w:rPr>
          <w:rStyle w:val="CharStyle16"/>
          <w:i/>
          <w:iCs/>
          <w:lang w:val="en-US" w:eastAsia="en-US"/>
        </w:rPr>
        <w:t xml:space="preserve">17.4 </w:t>
      </w:r>
      <w:r>
        <w:rPr>
          <w:rStyle w:val="CharStyle16"/>
          <w:i/>
          <w:iCs/>
        </w:rPr>
        <w:t xml:space="preserve">независимой гарантии не предусмотрено типовой формой независимой гарантии, утвержденной Постановлением </w:t>
      </w:r>
      <w:r>
        <w:rPr>
          <w:rStyle w:val="CharStyle16"/>
          <w:i/>
          <w:iCs/>
          <w:lang w:val="en-US" w:eastAsia="en-US"/>
        </w:rPr>
        <w:t xml:space="preserve">№ 1005. </w:t>
      </w:r>
      <w:r>
        <w:rPr>
          <w:rStyle w:val="CharStyle16"/>
          <w:i/>
          <w:iCs/>
        </w:rPr>
        <w:t xml:space="preserve">Дополнительное условие в п. </w:t>
      </w:r>
      <w:r>
        <w:rPr>
          <w:rStyle w:val="CharStyle16"/>
          <w:i/>
          <w:iCs/>
          <w:lang w:val="en-US" w:eastAsia="en-US"/>
        </w:rPr>
        <w:t xml:space="preserve">17.4 </w:t>
      </w:r>
      <w:r>
        <w:rPr>
          <w:rStyle w:val="CharStyle16"/>
          <w:i/>
          <w:iCs/>
        </w:rPr>
        <w:t xml:space="preserve">гарантии является абстрактным понятием и по своей сути, подразумевает возможность внесения изменений любых условий в положения гарантии банком без согласия бенефициара. Что может привести к ограничению прав и законных интересов бенефициара, в том числе к ограничению получения денежной суммы по гарантии по требованию. Согласно п. </w:t>
      </w:r>
      <w:r>
        <w:rPr>
          <w:rStyle w:val="CharStyle16"/>
          <w:i/>
          <w:iCs/>
          <w:lang w:val="en-US" w:eastAsia="en-US"/>
        </w:rPr>
        <w:t xml:space="preserve">2 </w:t>
      </w:r>
      <w:r>
        <w:rPr>
          <w:rStyle w:val="CharStyle16"/>
          <w:i/>
          <w:iCs/>
        </w:rPr>
        <w:t xml:space="preserve">ч. </w:t>
      </w:r>
      <w:r>
        <w:rPr>
          <w:rStyle w:val="CharStyle16"/>
          <w:i/>
          <w:iCs/>
          <w:lang w:val="en-US" w:eastAsia="en-US"/>
        </w:rPr>
        <w:t xml:space="preserve">6 </w:t>
      </w:r>
      <w:r>
        <w:rPr>
          <w:rStyle w:val="CharStyle16"/>
          <w:i/>
          <w:iCs/>
        </w:rPr>
        <w:t xml:space="preserve">ст. </w:t>
      </w:r>
      <w:r>
        <w:rPr>
          <w:rStyle w:val="CharStyle16"/>
          <w:i/>
          <w:iCs/>
          <w:lang w:val="en-US" w:eastAsia="en-US"/>
        </w:rPr>
        <w:t xml:space="preserve">45 </w:t>
      </w:r>
      <w:r>
        <w:rPr>
          <w:rStyle w:val="CharStyle16"/>
          <w:i/>
          <w:iCs/>
        </w:rPr>
        <w:t xml:space="preserve">Закона о контрактной системе основанием для отказа в принятии независимой гарантии заказчиком является несоответствие независимой гарантии требованиям, ч. </w:t>
      </w:r>
      <w:r>
        <w:rPr>
          <w:rStyle w:val="CharStyle16"/>
          <w:i/>
          <w:iCs/>
          <w:lang w:val="en-US" w:eastAsia="en-US"/>
        </w:rPr>
        <w:t xml:space="preserve">8.2 </w:t>
      </w:r>
      <w:r>
        <w:rPr>
          <w:rStyle w:val="CharStyle16"/>
          <w:i/>
          <w:iCs/>
        </w:rPr>
        <w:t xml:space="preserve">ст. </w:t>
      </w:r>
      <w:r>
        <w:rPr>
          <w:rStyle w:val="CharStyle16"/>
          <w:i/>
          <w:iCs/>
          <w:lang w:val="en-US" w:eastAsia="en-US"/>
        </w:rPr>
        <w:t xml:space="preserve">45 </w:t>
      </w:r>
      <w:r>
        <w:rPr>
          <w:rStyle w:val="CharStyle16"/>
          <w:i/>
          <w:iCs/>
        </w:rPr>
        <w:t xml:space="preserve">Закона о контрактной системе. </w:t>
      </w:r>
      <w:r>
        <w:rPr>
          <w:rStyle w:val="CharStyle16"/>
          <w:i/>
          <w:iCs/>
          <w:lang w:val="en-US" w:eastAsia="en-US"/>
        </w:rPr>
        <w:t xml:space="preserve">6. </w:t>
      </w:r>
      <w:r>
        <w:rPr>
          <w:rStyle w:val="CharStyle16"/>
          <w:i/>
          <w:iCs/>
        </w:rPr>
        <w:t xml:space="preserve">По результатам рассмотрения были приняты решения: В соответствии с ч. </w:t>
      </w:r>
      <w:r>
        <w:rPr>
          <w:rStyle w:val="CharStyle16"/>
          <w:i/>
          <w:iCs/>
          <w:lang w:val="en-US" w:eastAsia="en-US"/>
        </w:rPr>
        <w:t xml:space="preserve">5 </w:t>
      </w:r>
      <w:r>
        <w:rPr>
          <w:rStyle w:val="CharStyle16"/>
          <w:i/>
          <w:iCs/>
        </w:rPr>
        <w:t xml:space="preserve">ст. </w:t>
      </w:r>
      <w:r>
        <w:rPr>
          <w:rStyle w:val="CharStyle16"/>
          <w:i/>
          <w:iCs/>
          <w:lang w:val="en-US" w:eastAsia="en-US"/>
        </w:rPr>
        <w:t xml:space="preserve">96 </w:t>
      </w:r>
      <w:r>
        <w:rPr>
          <w:rStyle w:val="CharStyle16"/>
          <w:i/>
          <w:iCs/>
        </w:rPr>
        <w:t>Закона о контрактной системе, по причине непредставления участником закупки, с которым заключается контракт, обеспечения исполнения контракта в срок, установленный для заключения контракта, признать Индивидуального предпринимателя Думу Анастасию Васильевну уклонившимся от заключения контракта»</w:t>
      </w:r>
      <w:r>
        <w:rPr>
          <w:rStyle w:val="CharStyle16"/>
        </w:rPr>
        <w:t>.</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протоколу подведения итогов определения поставщика (подрядчика, исполнителя) от </w:t>
      </w:r>
      <w:r>
        <w:rPr>
          <w:rStyle w:val="CharStyle16"/>
          <w:lang w:val="en-US" w:eastAsia="en-US"/>
        </w:rPr>
        <w:t xml:space="preserve">22.08.2025 </w:t>
      </w:r>
      <w:r>
        <w:rPr>
          <w:rStyle w:val="CharStyle16"/>
        </w:rPr>
        <w:t>№ИЭА1 участник закупки ИП Дума А.В. признан победителем аукциона.</w:t>
      </w:r>
    </w:p>
    <w:p>
      <w:pPr>
        <w:pStyle w:val="Style15"/>
        <w:keepNext w:val="0"/>
        <w:keepLines w:val="0"/>
        <w:widowControl w:val="0"/>
        <w:shd w:val="clear" w:color="auto" w:fill="auto"/>
        <w:bidi w:val="0"/>
        <w:spacing w:before="0" w:after="260" w:line="240" w:lineRule="auto"/>
        <w:ind w:left="0" w:right="0" w:firstLine="720"/>
        <w:jc w:val="both"/>
        <w:sectPr>
          <w:footnotePr>
            <w:pos w:val="pageBottom"/>
            <w:numFmt w:val="decimal"/>
            <w:numRestart w:val="continuous"/>
          </w:footnotePr>
          <w:type w:val="continuous"/>
          <w:pgSz w:w="11900" w:h="16840"/>
          <w:pgMar w:top="502" w:right="541" w:bottom="953" w:left="1092" w:header="0" w:footer="3" w:gutter="0"/>
          <w:cols w:space="720"/>
          <w:noEndnote/>
          <w:rtlGutter w:val="0"/>
          <w:docGrid w:linePitch="360"/>
        </w:sectPr>
      </w:pPr>
      <w:r>
        <w:rPr>
          <w:rStyle w:val="CharStyle16"/>
        </w:rPr>
        <w:t>Согласно ч.1 ст.51 Закона о контрактной системе по результатам электронной</w:t>
      </w:r>
    </w:p>
    <w:p>
      <w:pPr>
        <w:pStyle w:val="Style15"/>
        <w:keepNext w:val="0"/>
        <w:keepLines w:val="0"/>
        <w:widowControl w:val="0"/>
        <w:shd w:val="clear" w:color="auto" w:fill="auto"/>
        <w:bidi w:val="0"/>
        <w:spacing w:before="0" w:after="0" w:line="240" w:lineRule="auto"/>
        <w:ind w:left="0" w:right="0" w:firstLine="0"/>
        <w:jc w:val="both"/>
      </w:pPr>
      <w:r>
        <w:rPr>
          <w:rStyle w:val="CharStyle16"/>
        </w:rPr>
        <w:t xml:space="preserve">процедуры контракт заключается с победителем определения поставщика (подрядчика, исполнителя), а в случаях, предусмотренных Законом о контрактной системе, с иным участником закупки (далее в настоящей статье </w:t>
      </w:r>
      <w:r>
        <w:rPr>
          <w:rStyle w:val="CharStyle16"/>
          <w:lang w:val="en-US" w:eastAsia="en-US"/>
        </w:rPr>
        <w:t xml:space="preserve">- </w:t>
      </w:r>
      <w:r>
        <w:rPr>
          <w:rStyle w:val="CharStyle16"/>
        </w:rPr>
        <w:t xml:space="preserve">участник закупки, с которым заключается контракт) не ранее чем через десять дней (если Законом о контрактной системе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пп. «а» п. </w:t>
      </w:r>
      <w:r>
        <w:rPr>
          <w:rStyle w:val="CharStyle16"/>
          <w:lang w:val="en-US" w:eastAsia="en-US"/>
        </w:rPr>
        <w:t xml:space="preserve">2 </w:t>
      </w:r>
      <w:r>
        <w:rPr>
          <w:rStyle w:val="CharStyle16"/>
        </w:rPr>
        <w:t xml:space="preserve">ч. </w:t>
      </w:r>
      <w:r>
        <w:rPr>
          <w:rStyle w:val="CharStyle16"/>
          <w:lang w:val="en-US" w:eastAsia="en-US"/>
        </w:rPr>
        <w:t xml:space="preserve">6 </w:t>
      </w:r>
      <w:r>
        <w:rPr>
          <w:rStyle w:val="CharStyle16"/>
        </w:rPr>
        <w:t>ст.51, после предоставления участником закупки, с которым заключается контракт, обеспечения исполнения контракта в соответствии с требованиями Закона о контрактной системе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Законом о контрактной системе, обязаны подписать контракт в порядке, установленном ст.51 Закона о контрактной системе.</w:t>
      </w:r>
    </w:p>
    <w:p>
      <w:pPr>
        <w:pStyle w:val="Style15"/>
        <w:keepNext w:val="0"/>
        <w:keepLines w:val="0"/>
        <w:widowControl w:val="0"/>
        <w:shd w:val="clear" w:color="auto" w:fill="auto"/>
        <w:bidi w:val="0"/>
        <w:spacing w:before="0" w:after="0" w:line="240" w:lineRule="auto"/>
        <w:ind w:left="0" w:right="0" w:firstLine="700"/>
        <w:jc w:val="both"/>
      </w:pPr>
      <w:r>
        <w:rPr>
          <w:rStyle w:val="CharStyle16"/>
        </w:rPr>
        <w:t>Согласно п.1 ч.2 ст.51 Закона о контрактной системе не позднее двух рабочих дней, следующих за днем размещения в единой информационной системе протоколов, указанных в ч.1 ст.51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w:t>
      </w:r>
    </w:p>
    <w:p>
      <w:pPr>
        <w:pStyle w:val="Style15"/>
        <w:keepNext w:val="0"/>
        <w:keepLines w:val="0"/>
        <w:widowControl w:val="0"/>
        <w:shd w:val="clear" w:color="auto" w:fill="auto"/>
        <w:bidi w:val="0"/>
        <w:spacing w:before="0" w:after="0" w:line="240" w:lineRule="auto"/>
        <w:ind w:left="0" w:right="0" w:firstLine="700"/>
        <w:jc w:val="both"/>
      </w:pPr>
      <w:r>
        <w:rPr>
          <w:rStyle w:val="CharStyle16"/>
        </w:rPr>
        <w:t>На заседании Комиссии Управления установлено, что Заказчиком в срок, предусмотренный п.1 ч.2 ст.51 Закона о контрактной системе в адрес Заявителя направлен на подписание проект государственного контракта.</w:t>
      </w:r>
    </w:p>
    <w:p>
      <w:pPr>
        <w:pStyle w:val="Style15"/>
        <w:keepNext w:val="0"/>
        <w:keepLines w:val="0"/>
        <w:widowControl w:val="0"/>
        <w:shd w:val="clear" w:color="auto" w:fill="auto"/>
        <w:bidi w:val="0"/>
        <w:spacing w:before="0" w:after="0" w:line="240" w:lineRule="auto"/>
        <w:ind w:left="0" w:right="0" w:firstLine="700"/>
        <w:jc w:val="both"/>
      </w:pPr>
      <w:r>
        <w:rPr>
          <w:rStyle w:val="CharStyle16"/>
        </w:rPr>
        <w:t>Согласно п.1 ч.3 ст.51 Закона о контрактной системе не позднее пяти рабочих дней, следующих за днем размещения заказчиком в соответствии с ч.2 ст.51 Закона о контрактной системе проекта контракта, участник закупки, с которым заключается контракт,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Законом о контрактной системе (за исключением случаев, предусмотренных Законом о контрактной системе).</w:t>
      </w:r>
    </w:p>
    <w:p>
      <w:pPr>
        <w:pStyle w:val="Style15"/>
        <w:keepNext w:val="0"/>
        <w:keepLines w:val="0"/>
        <w:widowControl w:val="0"/>
        <w:shd w:val="clear" w:color="auto" w:fill="auto"/>
        <w:bidi w:val="0"/>
        <w:spacing w:before="0" w:after="0" w:line="240" w:lineRule="auto"/>
        <w:ind w:left="0" w:right="0" w:firstLine="700"/>
        <w:jc w:val="both"/>
      </w:pPr>
      <w:r>
        <w:rPr>
          <w:rStyle w:val="CharStyle16"/>
          <w:lang w:val="en-US" w:eastAsia="en-US"/>
        </w:rPr>
        <w:t xml:space="preserve">01.09.2025 </w:t>
      </w:r>
      <w:r>
        <w:rPr>
          <w:rStyle w:val="CharStyle16"/>
        </w:rPr>
        <w:t xml:space="preserve">Победителем был подписан и размещен на электронной площадке проект контракта, а также приложена независимая гарантия выданная ООО КБ «Кубань Кредит» от </w:t>
      </w:r>
      <w:r>
        <w:rPr>
          <w:rStyle w:val="CharStyle16"/>
          <w:lang w:val="en-US" w:eastAsia="en-US"/>
        </w:rPr>
        <w:t>01.09.2025 №465144.</w:t>
      </w:r>
    </w:p>
    <w:p>
      <w:pPr>
        <w:pStyle w:val="Style15"/>
        <w:keepNext w:val="0"/>
        <w:keepLines w:val="0"/>
        <w:widowControl w:val="0"/>
        <w:shd w:val="clear" w:color="auto" w:fill="auto"/>
        <w:bidi w:val="0"/>
        <w:spacing w:before="0" w:after="0" w:line="240" w:lineRule="auto"/>
        <w:ind w:left="0" w:right="0" w:firstLine="700"/>
        <w:jc w:val="both"/>
      </w:pPr>
      <w:r>
        <w:rPr>
          <w:rStyle w:val="CharStyle16"/>
        </w:rPr>
        <w:t>Согласно ч.4 ст.51 Закона о контрактной системе не позднее двух рабочих дней, следующих за днем размещения участником закупки, с которым заключается контракт, информации и документов в соответствии с ч.3 ст.51 Закона о контрактной системе, заказчик осуществляет одно из следующих действий:</w:t>
      </w:r>
    </w:p>
    <w:p>
      <w:pPr>
        <w:pStyle w:val="Style15"/>
        <w:keepNext w:val="0"/>
        <w:keepLines w:val="0"/>
        <w:widowControl w:val="0"/>
        <w:numPr>
          <w:ilvl w:val="0"/>
          <w:numId w:val="1"/>
        </w:numPr>
        <w:shd w:val="clear" w:color="auto" w:fill="auto"/>
        <w:tabs>
          <w:tab w:pos="1080" w:val="left"/>
        </w:tabs>
        <w:bidi w:val="0"/>
        <w:spacing w:before="0" w:after="0" w:line="269" w:lineRule="auto"/>
        <w:ind w:left="0" w:right="0" w:firstLine="700"/>
        <w:jc w:val="both"/>
        <w:rPr>
          <w:sz w:val="24"/>
          <w:szCs w:val="24"/>
        </w:rPr>
      </w:pPr>
      <w:r>
        <w:rPr>
          <w:rStyle w:val="CharStyle16"/>
        </w:rPr>
        <w:t xml:space="preserve">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контракт (за исключением случаев, установленных Законом о контрактной системе, </w:t>
      </w:r>
      <w:r>
        <w:rPr>
          <w:rStyle w:val="CharStyle16"/>
          <w:sz w:val="24"/>
          <w:szCs w:val="24"/>
          <w:lang w:val="en-US" w:eastAsia="en-US"/>
        </w:rPr>
        <w:t>2025-41352</w:t>
      </w:r>
    </w:p>
    <w:p>
      <w:pPr>
        <w:pStyle w:val="Style15"/>
        <w:keepNext w:val="0"/>
        <w:keepLines w:val="0"/>
        <w:widowControl w:val="0"/>
        <w:shd w:val="clear" w:color="auto" w:fill="auto"/>
        <w:bidi w:val="0"/>
        <w:spacing w:before="0" w:after="0" w:line="240" w:lineRule="auto"/>
        <w:ind w:left="0" w:right="0" w:firstLine="0"/>
        <w:jc w:val="both"/>
      </w:pPr>
      <w:r>
        <w:rPr>
          <w:rStyle w:val="CharStyle16"/>
        </w:rPr>
        <w:t>и не ранее срока, предусмотренного ч.1 ст.51 Закона о контрактной системе) в случае, если участник закупки, с которым заключается контракт, разместил информацию и документы в соответствии с п.1 ч.3 ст.51 Закона о контрактной системе. Если по результатам определения поставщика (подрядчика, исполнителя) в соответствии с Законом о контрактной системе определен размер платы, подлежащей внесению участником закупки за заключение контракта, действия, предусмотренные настоящим пунктом, осуществляются заказчиком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w:t>
      </w:r>
    </w:p>
    <w:p>
      <w:pPr>
        <w:pStyle w:val="Style15"/>
        <w:keepNext w:val="0"/>
        <w:keepLines w:val="0"/>
        <w:widowControl w:val="0"/>
        <w:numPr>
          <w:ilvl w:val="0"/>
          <w:numId w:val="1"/>
        </w:numPr>
        <w:shd w:val="clear" w:color="auto" w:fill="auto"/>
        <w:tabs>
          <w:tab w:pos="1080" w:val="left"/>
        </w:tabs>
        <w:bidi w:val="0"/>
        <w:spacing w:before="0" w:after="0" w:line="240" w:lineRule="auto"/>
        <w:ind w:left="0" w:right="0" w:firstLine="700"/>
        <w:jc w:val="both"/>
      </w:pPr>
      <w:r>
        <w:rPr>
          <w:rStyle w:val="CharStyle16"/>
        </w:rPr>
        <w:t>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с учетом информации, содержащейся в протоколе разногласий, размещенном участником закупки, с которым заключается контракт, в соответствии с п.2 ч.3 ст.51 Закона о контрактной системе;</w:t>
      </w:r>
    </w:p>
    <w:p>
      <w:pPr>
        <w:pStyle w:val="Style15"/>
        <w:keepNext w:val="0"/>
        <w:keepLines w:val="0"/>
        <w:widowControl w:val="0"/>
        <w:numPr>
          <w:ilvl w:val="0"/>
          <w:numId w:val="1"/>
        </w:numPr>
        <w:shd w:val="clear" w:color="auto" w:fill="auto"/>
        <w:tabs>
          <w:tab w:pos="1080" w:val="left"/>
        </w:tabs>
        <w:bidi w:val="0"/>
        <w:spacing w:before="0" w:after="0" w:line="240" w:lineRule="auto"/>
        <w:ind w:left="0" w:right="0" w:firstLine="700"/>
        <w:jc w:val="both"/>
      </w:pPr>
      <w:r>
        <w:rPr>
          <w:rStyle w:val="CharStyle16"/>
        </w:rPr>
        <w:t>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п.2 ч.3 ст.51 Закона о контрактной системе. При таком размещении заказчик также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(без размещения на официальном сайте) информацию о причинах отказа учесть полностью или частично информацию, содержащуюся в протоколе разногласий. При этом информация, предусмотренная пп.«б» п.2 ч.3 ст.51 Закона о контрактной системе, подлежит обязательному учету.</w:t>
      </w:r>
    </w:p>
    <w:p>
      <w:pPr>
        <w:pStyle w:val="Style15"/>
        <w:keepNext w:val="0"/>
        <w:keepLines w:val="0"/>
        <w:widowControl w:val="0"/>
        <w:shd w:val="clear" w:color="auto" w:fill="auto"/>
        <w:bidi w:val="0"/>
        <w:spacing w:before="0" w:after="0" w:line="240" w:lineRule="auto"/>
        <w:ind w:left="0" w:right="0" w:firstLine="700"/>
        <w:jc w:val="both"/>
        <w:rPr>
          <w:sz w:val="24"/>
          <w:szCs w:val="24"/>
        </w:rPr>
      </w:pPr>
      <w:r>
        <w:rPr>
          <w:rStyle w:val="CharStyle16"/>
        </w:rPr>
        <w:t xml:space="preserve">Согласно ч.5 ст.51 Закона о контрактной системе не позднее одного рабочего дня, следующего за датой размещения заказчиком информации и документов в соответствии с п.2 или </w:t>
      </w:r>
      <w:r>
        <w:rPr>
          <w:rStyle w:val="CharStyle16"/>
          <w:lang w:val="en-US" w:eastAsia="en-US"/>
        </w:rPr>
        <w:t xml:space="preserve">3 </w:t>
      </w:r>
      <w:r>
        <w:rPr>
          <w:rStyle w:val="CharStyle16"/>
        </w:rPr>
        <w:t xml:space="preserve">ч.4 ст.51 Закона о контрактной системе, участник закупки, с которым заключается контракт, осуществляет действия, предусмотренные п.1 ч.3 ст.51 Закона о контрактной системе.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Законом о контрактной системе, и не ранее срока, предусмотренного ч.1 ст.51 Закона о контрактной системе).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случаях, предусмотренных ч.5 ст.103 Закона о </w:t>
      </w:r>
      <w:r>
        <w:rPr>
          <w:rStyle w:val="CharStyle16"/>
          <w:sz w:val="24"/>
          <w:szCs w:val="24"/>
          <w:lang w:val="en-US" w:eastAsia="en-US"/>
        </w:rPr>
        <w:t>2025-41352</w:t>
      </w:r>
    </w:p>
    <w:p>
      <w:pPr>
        <w:pStyle w:val="Style15"/>
        <w:keepNext w:val="0"/>
        <w:keepLines w:val="0"/>
        <w:widowControl w:val="0"/>
        <w:shd w:val="clear" w:color="auto" w:fill="auto"/>
        <w:bidi w:val="0"/>
        <w:spacing w:before="0" w:after="0" w:line="240" w:lineRule="auto"/>
        <w:ind w:left="0" w:right="0" w:firstLine="0"/>
        <w:jc w:val="both"/>
      </w:pPr>
      <w:r>
        <w:rPr>
          <w:rStyle w:val="CharStyle16"/>
        </w:rPr>
        <w:t>контрактной системе, такой подписанный контракт не размещается на официальном сайте.</w:t>
      </w:r>
    </w:p>
    <w:p>
      <w:pPr>
        <w:pStyle w:val="Style15"/>
        <w:keepNext w:val="0"/>
        <w:keepLines w:val="0"/>
        <w:widowControl w:val="0"/>
        <w:shd w:val="clear" w:color="auto" w:fill="auto"/>
        <w:bidi w:val="0"/>
        <w:spacing w:before="0" w:after="0" w:line="240" w:lineRule="auto"/>
        <w:ind w:left="0" w:right="0" w:firstLine="700"/>
        <w:jc w:val="both"/>
      </w:pPr>
      <w:r>
        <w:rPr>
          <w:rStyle w:val="CharStyle16"/>
        </w:rPr>
        <w:t>Согласно ч.6 ст.51 Закона о контрактной системе в случае, если участником закупки, с которым заключается контракт, не выполнены требования, предусмотренные ч.3 ст.51 Закона о контрактной системе (за исключением случая, предусмотренного п.3 ч.3 ст.51 Закона о контрактной системе, а также случая, если таким участником закупки в срок, установленный ч.3 ст.51 Закона о контрактной системе, не выполнены требования п.3 ч.3 ст.51 Закона о контрактной системе) и ч.5 ст.51 Закона о контрактной системе:</w:t>
      </w:r>
    </w:p>
    <w:p>
      <w:pPr>
        <w:pStyle w:val="Style15"/>
        <w:keepNext w:val="0"/>
        <w:keepLines w:val="0"/>
        <w:widowControl w:val="0"/>
        <w:numPr>
          <w:ilvl w:val="0"/>
          <w:numId w:val="3"/>
        </w:numPr>
        <w:shd w:val="clear" w:color="auto" w:fill="auto"/>
        <w:tabs>
          <w:tab w:pos="1075" w:val="left"/>
        </w:tabs>
        <w:bidi w:val="0"/>
        <w:spacing w:before="0" w:after="0" w:line="240" w:lineRule="auto"/>
        <w:ind w:left="0" w:right="0" w:firstLine="700"/>
        <w:jc w:val="both"/>
      </w:pPr>
      <w:r>
        <w:rPr>
          <w:rStyle w:val="CharStyle16"/>
        </w:rPr>
        <w:t>такой участник закупки считается уклонившимся от заключения контракта;</w:t>
      </w:r>
    </w:p>
    <w:p>
      <w:pPr>
        <w:pStyle w:val="Style15"/>
        <w:keepNext w:val="0"/>
        <w:keepLines w:val="0"/>
        <w:widowControl w:val="0"/>
        <w:numPr>
          <w:ilvl w:val="0"/>
          <w:numId w:val="3"/>
        </w:numPr>
        <w:shd w:val="clear" w:color="auto" w:fill="auto"/>
        <w:tabs>
          <w:tab w:pos="1127" w:val="left"/>
        </w:tabs>
        <w:bidi w:val="0"/>
        <w:spacing w:before="0" w:after="0" w:line="240" w:lineRule="auto"/>
        <w:ind w:left="0" w:right="0" w:firstLine="700"/>
        <w:jc w:val="both"/>
      </w:pPr>
      <w:r>
        <w:rPr>
          <w:rStyle w:val="CharStyle16"/>
        </w:rPr>
        <w:t xml:space="preserve">заказчик не позднее одного рабочего дня, следующего за днем истечения срока выполнения участником закупки требований, предусмотренных ч.3 и </w:t>
      </w:r>
      <w:r>
        <w:rPr>
          <w:rStyle w:val="CharStyle16"/>
          <w:lang w:val="en-US" w:eastAsia="en-US"/>
        </w:rPr>
        <w:t xml:space="preserve">5 </w:t>
      </w:r>
      <w:r>
        <w:rPr>
          <w:rStyle w:val="CharStyle16"/>
        </w:rPr>
        <w:t>ст.51 Закона о контрактной системе:</w:t>
      </w:r>
    </w:p>
    <w:p>
      <w:pPr>
        <w:pStyle w:val="Style15"/>
        <w:keepNext w:val="0"/>
        <w:keepLines w:val="0"/>
        <w:widowControl w:val="0"/>
        <w:numPr>
          <w:ilvl w:val="0"/>
          <w:numId w:val="5"/>
        </w:numPr>
        <w:shd w:val="clear" w:color="auto" w:fill="auto"/>
        <w:tabs>
          <w:tab w:pos="1127" w:val="left"/>
        </w:tabs>
        <w:bidi w:val="0"/>
        <w:spacing w:before="0" w:after="0" w:line="240" w:lineRule="auto"/>
        <w:ind w:left="0" w:right="0" w:firstLine="700"/>
        <w:jc w:val="both"/>
      </w:pPr>
      <w:r>
        <w:rPr>
          <w:rStyle w:val="CharStyle16"/>
        </w:rPr>
        <w:t>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pPr>
        <w:pStyle w:val="Style15"/>
        <w:keepNext w:val="0"/>
        <w:keepLines w:val="0"/>
        <w:widowControl w:val="0"/>
        <w:numPr>
          <w:ilvl w:val="0"/>
          <w:numId w:val="5"/>
        </w:numPr>
        <w:shd w:val="clear" w:color="auto" w:fill="auto"/>
        <w:tabs>
          <w:tab w:pos="1127" w:val="left"/>
        </w:tabs>
        <w:bidi w:val="0"/>
        <w:spacing w:before="0" w:after="0" w:line="240" w:lineRule="auto"/>
        <w:ind w:left="0" w:right="0" w:firstLine="700"/>
        <w:jc w:val="both"/>
      </w:pPr>
      <w:r>
        <w:rPr>
          <w:rStyle w:val="CharStyle16"/>
        </w:rPr>
        <w:t>формирует и направляет в соответствии с порядком, предусмотренным ч.10 ст.104 Закона о контрактной системе, в день размещения в единой информационной системе протокола, предусмотренного пп.«а» п.2 ч.6 ст.51 Закона о контрактной системе, обращение о включении информации об участнике закупки в реестр недобросовестных поставщиков (подрядчиков, исполнителей);</w:t>
      </w:r>
    </w:p>
    <w:p>
      <w:pPr>
        <w:pStyle w:val="Style15"/>
        <w:keepNext w:val="0"/>
        <w:keepLines w:val="0"/>
        <w:widowControl w:val="0"/>
        <w:numPr>
          <w:ilvl w:val="0"/>
          <w:numId w:val="7"/>
        </w:numPr>
        <w:shd w:val="clear" w:color="auto" w:fill="auto"/>
        <w:tabs>
          <w:tab w:pos="1127" w:val="left"/>
        </w:tabs>
        <w:bidi w:val="0"/>
        <w:spacing w:before="0" w:after="0" w:line="240" w:lineRule="auto"/>
        <w:ind w:left="0" w:right="0" w:firstLine="700"/>
        <w:jc w:val="both"/>
      </w:pPr>
      <w:r>
        <w:rPr>
          <w:rStyle w:val="CharStyle16"/>
        </w:rPr>
        <w:t>оператор электронной площадки не позднее одного часа с момента размещения в соответствии с пп.«а» п.2 ч.6 ст.51 Закона о контрактной системе протокола об уклонении участника закупки от заключения контракта направляет такому участнику закупки уведомление о таком размещении.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В соответствии с ч.4 ст.96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w:t>
      </w:r>
    </w:p>
    <w:p>
      <w:pPr>
        <w:pStyle w:val="Style15"/>
        <w:keepNext w:val="0"/>
        <w:keepLines w:val="0"/>
        <w:widowControl w:val="0"/>
        <w:shd w:val="clear" w:color="auto" w:fill="auto"/>
        <w:bidi w:val="0"/>
        <w:spacing w:before="0" w:after="0" w:line="240" w:lineRule="auto"/>
        <w:ind w:left="0" w:right="0" w:firstLine="700"/>
        <w:jc w:val="both"/>
        <w:rPr>
          <w:sz w:val="24"/>
          <w:szCs w:val="24"/>
        </w:rPr>
      </w:pPr>
      <w:r>
        <w:rPr>
          <w:rStyle w:val="CharStyle16"/>
        </w:rPr>
        <w:t xml:space="preserve">В силу ч.3 ст.96 Закона о контрактной системе исполнение контракта, гарантийные обязательства могут обеспечиваться предоставлением независимой гарантии, соответствующей требованиям ст.45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Закона о контрактной системе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w:t>
      </w:r>
      <w:r>
        <w:rPr>
          <w:rStyle w:val="CharStyle16"/>
          <w:sz w:val="24"/>
          <w:szCs w:val="24"/>
          <w:lang w:val="en-US" w:eastAsia="en-US"/>
        </w:rPr>
        <w:t>2025-41352</w:t>
      </w:r>
    </w:p>
    <w:p>
      <w:pPr>
        <w:pStyle w:val="Style15"/>
        <w:keepNext w:val="0"/>
        <w:keepLines w:val="0"/>
        <w:widowControl w:val="0"/>
        <w:shd w:val="clear" w:color="auto" w:fill="auto"/>
        <w:bidi w:val="0"/>
        <w:spacing w:before="0" w:after="0" w:line="240" w:lineRule="auto"/>
        <w:ind w:left="0" w:right="0" w:firstLine="0"/>
        <w:jc w:val="both"/>
      </w:pPr>
      <w:r>
        <w:rPr>
          <w:rStyle w:val="CharStyle16"/>
        </w:rPr>
        <w:t>изменения в соответствии со ст.95 Закона о контрактной системе.</w:t>
      </w:r>
    </w:p>
    <w:p>
      <w:pPr>
        <w:pStyle w:val="Style15"/>
        <w:keepNext w:val="0"/>
        <w:keepLines w:val="0"/>
        <w:widowControl w:val="0"/>
        <w:shd w:val="clear" w:color="auto" w:fill="auto"/>
        <w:bidi w:val="0"/>
        <w:spacing w:before="0" w:after="0" w:line="240" w:lineRule="auto"/>
        <w:ind w:left="0" w:right="0" w:firstLine="700"/>
        <w:jc w:val="both"/>
      </w:pPr>
      <w:r>
        <w:rPr>
          <w:rStyle w:val="CharStyle16"/>
        </w:rPr>
        <w:t>В силу п.1 ч.1 ст.45 Закона о контрактной системе заказчики в качестве обеспечения заявок, исполнения контрактов, гарантийных обязательств принимают независимые гарантии, выданные банками, соответствующими требованиям, установленным Правительством Российской Федерации, и включенными в перечень, предусмотренный ч.1.2 ст.45 Закона о контрактной системы.</w:t>
      </w:r>
    </w:p>
    <w:p>
      <w:pPr>
        <w:pStyle w:val="Style15"/>
        <w:keepNext w:val="0"/>
        <w:keepLines w:val="0"/>
        <w:widowControl w:val="0"/>
        <w:shd w:val="clear" w:color="auto" w:fill="auto"/>
        <w:bidi w:val="0"/>
        <w:spacing w:before="0" w:after="0" w:line="240" w:lineRule="auto"/>
        <w:ind w:left="0" w:right="0" w:firstLine="700"/>
        <w:jc w:val="both"/>
      </w:pPr>
      <w:r>
        <w:rPr>
          <w:rStyle w:val="CharStyle16"/>
        </w:rPr>
        <w:t>В силу ч.2 ст.45 Закона о контрактной системе независимая гарантия должна быть безотзывной и должна содержать:</w:t>
      </w:r>
    </w:p>
    <w:p>
      <w:pPr>
        <w:pStyle w:val="Style15"/>
        <w:keepNext w:val="0"/>
        <w:keepLines w:val="0"/>
        <w:widowControl w:val="0"/>
        <w:numPr>
          <w:ilvl w:val="0"/>
          <w:numId w:val="9"/>
        </w:numPr>
        <w:shd w:val="clear" w:color="auto" w:fill="auto"/>
        <w:tabs>
          <w:tab w:pos="1094" w:val="left"/>
        </w:tabs>
        <w:bidi w:val="0"/>
        <w:spacing w:before="0" w:after="0" w:line="240" w:lineRule="auto"/>
        <w:ind w:left="0" w:right="0" w:firstLine="700"/>
        <w:jc w:val="both"/>
      </w:pPr>
      <w:r>
        <w:rPr>
          <w:rStyle w:val="CharStyle16"/>
        </w:rPr>
        <w:t xml:space="preserve">сумму независимой гарантии, подлежащую уплате гарантом заказчику в установленных ст.44 Закона о контрактной системе случаях для предъявления требования об уплате денежной суммы по независимой гарантии, предоставленной для обеспечения заявки на участие в закупке, или сумму независимой гарантии, подлежащую уплате гарантом заказчику в случае ненадлежащего исполнения обязательств принципалом в соответствии со статьей </w:t>
      </w:r>
      <w:r>
        <w:rPr>
          <w:rStyle w:val="CharStyle16"/>
          <w:lang w:val="en-US" w:eastAsia="en-US"/>
        </w:rPr>
        <w:t xml:space="preserve">96 </w:t>
      </w:r>
      <w:r>
        <w:rPr>
          <w:rStyle w:val="CharStyle16"/>
        </w:rPr>
        <w:t>настоящего Федерального закона, а также идентификационный код закупки, при осуществлении которой предоставляется такая независимая гарантия;</w:t>
      </w:r>
    </w:p>
    <w:p>
      <w:pPr>
        <w:pStyle w:val="Style15"/>
        <w:keepNext w:val="0"/>
        <w:keepLines w:val="0"/>
        <w:widowControl w:val="0"/>
        <w:numPr>
          <w:ilvl w:val="0"/>
          <w:numId w:val="9"/>
        </w:numPr>
        <w:shd w:val="clear" w:color="auto" w:fill="auto"/>
        <w:tabs>
          <w:tab w:pos="1084" w:val="left"/>
        </w:tabs>
        <w:bidi w:val="0"/>
        <w:spacing w:before="0" w:after="0" w:line="240" w:lineRule="auto"/>
        <w:ind w:left="0" w:right="0" w:firstLine="700"/>
        <w:jc w:val="both"/>
      </w:pPr>
      <w:r>
        <w:rPr>
          <w:rStyle w:val="CharStyle16"/>
        </w:rPr>
        <w:t>обязательства принципала, надлежащее исполнение которых обеспечивается независимой гарантией;</w:t>
      </w:r>
    </w:p>
    <w:p>
      <w:pPr>
        <w:pStyle w:val="Style15"/>
        <w:keepNext w:val="0"/>
        <w:keepLines w:val="0"/>
        <w:widowControl w:val="0"/>
        <w:numPr>
          <w:ilvl w:val="0"/>
          <w:numId w:val="9"/>
        </w:numPr>
        <w:shd w:val="clear" w:color="auto" w:fill="auto"/>
        <w:tabs>
          <w:tab w:pos="1089" w:val="left"/>
        </w:tabs>
        <w:bidi w:val="0"/>
        <w:spacing w:before="0" w:after="0" w:line="240" w:lineRule="auto"/>
        <w:ind w:left="0" w:right="0" w:firstLine="700"/>
        <w:jc w:val="both"/>
      </w:pPr>
      <w:r>
        <w:rPr>
          <w:rStyle w:val="CharStyle16"/>
        </w:rPr>
        <w:t xml:space="preserve">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w:t>
      </w:r>
      <w:r>
        <w:rPr>
          <w:rStyle w:val="CharStyle16"/>
          <w:lang w:val="en-US" w:eastAsia="en-US"/>
        </w:rPr>
        <w:t xml:space="preserve">0,1 </w:t>
      </w:r>
      <w:r>
        <w:rPr>
          <w:rStyle w:val="CharStyle16"/>
        </w:rPr>
        <w:t>процента денежной суммы, подлежащей уплате по такой независимой гарантии;</w:t>
      </w:r>
    </w:p>
    <w:p>
      <w:pPr>
        <w:pStyle w:val="Style15"/>
        <w:keepNext w:val="0"/>
        <w:keepLines w:val="0"/>
        <w:widowControl w:val="0"/>
        <w:numPr>
          <w:ilvl w:val="0"/>
          <w:numId w:val="9"/>
        </w:numPr>
        <w:shd w:val="clear" w:color="auto" w:fill="auto"/>
        <w:tabs>
          <w:tab w:pos="1094" w:val="left"/>
        </w:tabs>
        <w:bidi w:val="0"/>
        <w:spacing w:before="0" w:after="0" w:line="240" w:lineRule="auto"/>
        <w:ind w:left="0" w:right="0" w:firstLine="700"/>
        <w:jc w:val="both"/>
      </w:pPr>
      <w:r>
        <w:rPr>
          <w:rStyle w:val="CharStyle16"/>
        </w:rPr>
        <w:t>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Style15"/>
        <w:keepNext w:val="0"/>
        <w:keepLines w:val="0"/>
        <w:widowControl w:val="0"/>
        <w:numPr>
          <w:ilvl w:val="0"/>
          <w:numId w:val="9"/>
        </w:numPr>
        <w:shd w:val="clear" w:color="auto" w:fill="auto"/>
        <w:tabs>
          <w:tab w:pos="1084" w:val="left"/>
        </w:tabs>
        <w:bidi w:val="0"/>
        <w:spacing w:before="0" w:after="0" w:line="240" w:lineRule="auto"/>
        <w:ind w:left="0" w:right="0" w:firstLine="700"/>
        <w:jc w:val="both"/>
      </w:pPr>
      <w:r>
        <w:rPr>
          <w:rStyle w:val="CharStyle16"/>
        </w:rPr>
        <w:t xml:space="preserve">срок действия независимой гарантии с учетом требований ст.44 и </w:t>
      </w:r>
      <w:r>
        <w:rPr>
          <w:rStyle w:val="CharStyle16"/>
          <w:lang w:val="en-US" w:eastAsia="en-US"/>
        </w:rPr>
        <w:t xml:space="preserve">96 </w:t>
      </w:r>
      <w:r>
        <w:rPr>
          <w:rStyle w:val="CharStyle16"/>
        </w:rPr>
        <w:t>Закона о контрактной системе;</w:t>
      </w:r>
    </w:p>
    <w:p>
      <w:pPr>
        <w:pStyle w:val="Style15"/>
        <w:keepNext w:val="0"/>
        <w:keepLines w:val="0"/>
        <w:widowControl w:val="0"/>
        <w:numPr>
          <w:ilvl w:val="0"/>
          <w:numId w:val="9"/>
        </w:numPr>
        <w:shd w:val="clear" w:color="auto" w:fill="auto"/>
        <w:tabs>
          <w:tab w:pos="1089" w:val="left"/>
        </w:tabs>
        <w:bidi w:val="0"/>
        <w:spacing w:before="0" w:after="0" w:line="240" w:lineRule="auto"/>
        <w:ind w:left="0" w:right="0" w:firstLine="700"/>
        <w:jc w:val="both"/>
      </w:pPr>
      <w:r>
        <w:rPr>
          <w:rStyle w:val="CharStyle16"/>
        </w:rPr>
        <w:t>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pPr>
        <w:pStyle w:val="Style15"/>
        <w:keepNext w:val="0"/>
        <w:keepLines w:val="0"/>
        <w:widowControl w:val="0"/>
        <w:numPr>
          <w:ilvl w:val="0"/>
          <w:numId w:val="9"/>
        </w:numPr>
        <w:shd w:val="clear" w:color="auto" w:fill="auto"/>
        <w:tabs>
          <w:tab w:pos="1094" w:val="left"/>
        </w:tabs>
        <w:bidi w:val="0"/>
        <w:spacing w:before="0" w:after="0" w:line="240" w:lineRule="auto"/>
        <w:ind w:left="0" w:right="0" w:firstLine="700"/>
        <w:jc w:val="both"/>
      </w:pPr>
      <w:r>
        <w:rPr>
          <w:rStyle w:val="CharStyle16"/>
        </w:rPr>
        <w:t>установленный Правительством Российской Федерации перечень документов, предоставляемых заказчиком гаранту одновременно с требованием об осуществлении уплаты денежной суммы по независимой гарантии.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Согласно ч.6 ст.45 Закона о контрактной системе основанием для отказа в принятии независимой гарантии заказчиком является:</w:t>
      </w:r>
    </w:p>
    <w:p>
      <w:pPr>
        <w:pStyle w:val="Style15"/>
        <w:keepNext w:val="0"/>
        <w:keepLines w:val="0"/>
        <w:widowControl w:val="0"/>
        <w:numPr>
          <w:ilvl w:val="0"/>
          <w:numId w:val="11"/>
        </w:numPr>
        <w:shd w:val="clear" w:color="auto" w:fill="auto"/>
        <w:tabs>
          <w:tab w:pos="1089" w:val="left"/>
        </w:tabs>
        <w:bidi w:val="0"/>
        <w:spacing w:before="0" w:after="0" w:line="240" w:lineRule="auto"/>
        <w:ind w:left="0" w:right="0" w:firstLine="700"/>
        <w:jc w:val="both"/>
      </w:pPr>
      <w:r>
        <w:rPr>
          <w:rStyle w:val="CharStyle16"/>
        </w:rPr>
        <w:t>отсутствие информации о независимой гарантии в предусмотренных ст.45 Закона о контрактной системе реестрах независимых гарантий;</w:t>
      </w:r>
    </w:p>
    <w:p>
      <w:pPr>
        <w:pStyle w:val="Style15"/>
        <w:keepNext w:val="0"/>
        <w:keepLines w:val="0"/>
        <w:widowControl w:val="0"/>
        <w:numPr>
          <w:ilvl w:val="0"/>
          <w:numId w:val="11"/>
        </w:numPr>
        <w:shd w:val="clear" w:color="auto" w:fill="auto"/>
        <w:tabs>
          <w:tab w:pos="1084" w:val="left"/>
        </w:tabs>
        <w:bidi w:val="0"/>
        <w:spacing w:before="0" w:after="0" w:line="240" w:lineRule="auto"/>
        <w:ind w:left="0" w:right="0" w:firstLine="700"/>
        <w:jc w:val="both"/>
      </w:pPr>
      <w:r>
        <w:rPr>
          <w:rStyle w:val="CharStyle16"/>
        </w:rPr>
        <w:t xml:space="preserve">несоответствие независимой гарантии требованиям, предусмотренным ч.2, </w:t>
      </w:r>
      <w:r>
        <w:rPr>
          <w:rStyle w:val="CharStyle16"/>
          <w:lang w:val="en-US" w:eastAsia="en-US"/>
        </w:rPr>
        <w:t xml:space="preserve">3 </w:t>
      </w:r>
      <w:r>
        <w:rPr>
          <w:rStyle w:val="CharStyle16"/>
        </w:rPr>
        <w:t xml:space="preserve">и </w:t>
      </w:r>
      <w:r>
        <w:rPr>
          <w:rStyle w:val="CharStyle16"/>
          <w:lang w:val="en-US" w:eastAsia="en-US"/>
        </w:rPr>
        <w:t xml:space="preserve">8.2 </w:t>
      </w:r>
      <w:r>
        <w:rPr>
          <w:rStyle w:val="CharStyle16"/>
        </w:rPr>
        <w:t>ст.45 Закона о контрактной системе;</w:t>
      </w:r>
    </w:p>
    <w:p>
      <w:pPr>
        <w:pStyle w:val="Style15"/>
        <w:keepNext w:val="0"/>
        <w:keepLines w:val="0"/>
        <w:widowControl w:val="0"/>
        <w:numPr>
          <w:ilvl w:val="0"/>
          <w:numId w:val="11"/>
        </w:numPr>
        <w:shd w:val="clear" w:color="auto" w:fill="auto"/>
        <w:tabs>
          <w:tab w:pos="1089" w:val="left"/>
        </w:tabs>
        <w:bidi w:val="0"/>
        <w:spacing w:before="0" w:after="0" w:line="295" w:lineRule="auto"/>
        <w:ind w:left="0" w:right="0" w:firstLine="700"/>
        <w:jc w:val="both"/>
        <w:rPr>
          <w:sz w:val="24"/>
          <w:szCs w:val="24"/>
        </w:rPr>
        <w:sectPr>
          <w:headerReference w:type="default" r:id="rId15"/>
          <w:footerReference w:type="default" r:id="rId16"/>
          <w:footnotePr>
            <w:pos w:val="pageBottom"/>
            <w:numFmt w:val="decimal"/>
            <w:numRestart w:val="continuous"/>
          </w:footnotePr>
          <w:pgSz w:w="11900" w:h="16840"/>
          <w:pgMar w:top="1162" w:right="553" w:bottom="653" w:left="1103" w:header="0" w:footer="225" w:gutter="0"/>
          <w:cols w:space="720"/>
          <w:noEndnote/>
          <w:rtlGutter w:val="0"/>
          <w:docGrid w:linePitch="360"/>
        </w:sectPr>
      </w:pPr>
      <w:r>
        <w:rPr>
          <w:rStyle w:val="CharStyle16"/>
        </w:rPr>
        <w:t xml:space="preserve">несоответствие независимой гарантии требованиям, содержащимся в извещении об осуществлении закупки, приглашении, документации о закупке (в </w:t>
      </w:r>
      <w:r>
        <w:rPr>
          <w:rStyle w:val="CharStyle16"/>
          <w:sz w:val="24"/>
          <w:szCs w:val="24"/>
          <w:lang w:val="en-US" w:eastAsia="en-US"/>
        </w:rPr>
        <w:t>2025-41352</w:t>
      </w:r>
    </w:p>
    <w:p>
      <w:pPr>
        <w:pStyle w:val="Style15"/>
        <w:keepNext w:val="0"/>
        <w:keepLines w:val="0"/>
        <w:widowControl w:val="0"/>
        <w:shd w:val="clear" w:color="auto" w:fill="auto"/>
        <w:bidi w:val="0"/>
        <w:spacing w:before="0" w:after="0" w:line="240" w:lineRule="auto"/>
        <w:ind w:left="0" w:right="0" w:firstLine="0"/>
        <w:jc w:val="both"/>
      </w:pPr>
      <w:r>
        <w:rPr>
          <w:rStyle w:val="CharStyle16"/>
        </w:rPr>
        <w:t>случае, если Законом о контрактной системе предусмотрена документация о закупке), проекте контракта, который заключается с единственным поставщиком (подрядчиком, исполнителем).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При этом Комиссия Управления отмечает, что согласно п. </w:t>
      </w:r>
      <w:r>
        <w:rPr>
          <w:rStyle w:val="CharStyle16"/>
          <w:lang w:val="en-US" w:eastAsia="en-US"/>
        </w:rPr>
        <w:t xml:space="preserve">18.2 </w:t>
      </w:r>
      <w:r>
        <w:rPr>
          <w:rStyle w:val="CharStyle16"/>
        </w:rPr>
        <w:t>Информационной карты, размещенной в составе извещения данной закупочной процедуры, Заказчиком установлены требования к независимой гарантии:</w:t>
      </w:r>
    </w:p>
    <w:p>
      <w:pPr>
        <w:pStyle w:val="Style15"/>
        <w:keepNext w:val="0"/>
        <w:keepLines w:val="0"/>
        <w:widowControl w:val="0"/>
        <w:shd w:val="clear" w:color="auto" w:fill="auto"/>
        <w:bidi w:val="0"/>
        <w:spacing w:before="0" w:after="0" w:line="240" w:lineRule="auto"/>
        <w:ind w:left="0" w:right="0" w:firstLine="720"/>
        <w:jc w:val="both"/>
      </w:pPr>
      <w:r>
        <w:rPr>
          <w:rStyle w:val="CharStyle16"/>
          <w:i/>
          <w:iCs/>
        </w:rPr>
        <w:t xml:space="preserve">«Требования к независимой гарантии утверждены постановлением Правительства Российской Федерации от </w:t>
      </w:r>
      <w:r>
        <w:rPr>
          <w:rStyle w:val="CharStyle16"/>
          <w:i/>
          <w:iCs/>
          <w:lang w:val="en-US" w:eastAsia="en-US"/>
        </w:rPr>
        <w:t xml:space="preserve">8 </w:t>
      </w:r>
      <w:r>
        <w:rPr>
          <w:rStyle w:val="CharStyle16"/>
          <w:i/>
          <w:iCs/>
        </w:rPr>
        <w:t xml:space="preserve">ноября </w:t>
      </w:r>
      <w:r>
        <w:rPr>
          <w:rStyle w:val="CharStyle16"/>
          <w:i/>
          <w:iCs/>
          <w:lang w:val="en-US" w:eastAsia="en-US"/>
        </w:rPr>
        <w:t xml:space="preserve">2013 </w:t>
      </w:r>
      <w:r>
        <w:rPr>
          <w:rStyle w:val="CharStyle16"/>
          <w:i/>
          <w:iCs/>
        </w:rPr>
        <w:t xml:space="preserve">г. </w:t>
      </w:r>
      <w:r>
        <w:rPr>
          <w:rStyle w:val="CharStyle16"/>
          <w:i/>
          <w:iCs/>
          <w:lang w:val="en-US" w:eastAsia="en-US"/>
        </w:rPr>
        <w:t xml:space="preserve">№ 1005 </w:t>
      </w:r>
      <w:r>
        <w:rPr>
          <w:rStyle w:val="CharStyle16"/>
          <w:i/>
          <w:iCs/>
        </w:rPr>
        <w:t xml:space="preserve">«О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Независимая гарантия оформляется в письменной форме 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Гаранта на условиях, определенных гражданским законодательством и ст. </w:t>
      </w:r>
      <w:r>
        <w:rPr>
          <w:rStyle w:val="CharStyle16"/>
          <w:i/>
          <w:iCs/>
          <w:lang w:val="en-US" w:eastAsia="en-US"/>
        </w:rPr>
        <w:t xml:space="preserve">45 </w:t>
      </w:r>
      <w:r>
        <w:rPr>
          <w:rStyle w:val="CharStyle16"/>
          <w:i/>
          <w:iCs/>
        </w:rPr>
        <w:t xml:space="preserve">Закона о контрактной системе. Независимая гарантия должна быть безотзывной и должна содержать обязательства Гаранта выплатить Бенефициару сумму Гарантии или ее часть, а именно: </w:t>
      </w:r>
      <w:r>
        <w:rPr>
          <w:rStyle w:val="CharStyle16"/>
          <w:i/>
          <w:iCs/>
          <w:lang w:val="en-US" w:eastAsia="en-US"/>
        </w:rPr>
        <w:t xml:space="preserve">- </w:t>
      </w:r>
      <w:r>
        <w:rPr>
          <w:rStyle w:val="CharStyle16"/>
          <w:i/>
          <w:iCs/>
        </w:rPr>
        <w:t xml:space="preserve">обязательство уплатить сумму неустойки (штрафа, пеней) предусмотренных контрактом; </w:t>
      </w:r>
      <w:r>
        <w:rPr>
          <w:rStyle w:val="CharStyle16"/>
          <w:i/>
          <w:iCs/>
          <w:lang w:val="en-US" w:eastAsia="en-US"/>
        </w:rPr>
        <w:t xml:space="preserve">- </w:t>
      </w:r>
      <w:r>
        <w:rPr>
          <w:rStyle w:val="CharStyle16"/>
          <w:i/>
          <w:iCs/>
        </w:rPr>
        <w:t xml:space="preserve">обязательство возместить убытки, понесенные Заказчиком в связи с неисполнением или ненадлежащим исполнением поставщиком (подрядчиком, исполнителем) своих обязательств по Контракту; </w:t>
      </w:r>
      <w:r>
        <w:rPr>
          <w:rStyle w:val="CharStyle16"/>
          <w:i/>
          <w:iCs/>
          <w:lang w:val="en-US" w:eastAsia="en-US"/>
        </w:rPr>
        <w:t xml:space="preserve">- </w:t>
      </w:r>
      <w:r>
        <w:rPr>
          <w:rStyle w:val="CharStyle16"/>
          <w:i/>
          <w:iCs/>
        </w:rPr>
        <w:t>обязательство уплатить сумму в размере авансового платежа (если выплата авансового платежа предусмотрена условиями контракта) при условии если бенефициаром предъявлено требование о возврате авансового платежа принципалу и оно им не выполнено. Независимая гарантия должна в том числе содержать указание на то, что все споры по независимой гарантии подлежат рассмотрению в Арбитражном суде города Москвы»</w:t>
      </w:r>
      <w:r>
        <w:rPr>
          <w:rStyle w:val="CharStyle16"/>
        </w:rPr>
        <w:t>.</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соответствии с ч.5 ст.96 Закона о контактной системе в случае непредставления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На заседании Комиссии Управления представитель уполномоченного учреждения пояснил, что в качестве обеспечения исполнения контракта представлена независимая гарантия от </w:t>
      </w:r>
      <w:r>
        <w:rPr>
          <w:rStyle w:val="CharStyle16"/>
          <w:lang w:val="en-US" w:eastAsia="en-US"/>
        </w:rPr>
        <w:t xml:space="preserve">01.09.2025 </w:t>
      </w:r>
      <w:r>
        <w:rPr>
          <w:rStyle w:val="CharStyle16"/>
        </w:rPr>
        <w:t>№465144,выданная ООО КБ «Кубань Кредит».</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Вместе с этим, в п.17.1 независимой гарантии установлено неправомерное положение, а именно: </w:t>
      </w:r>
      <w:r>
        <w:rPr>
          <w:rStyle w:val="CharStyle16"/>
          <w:i/>
          <w:iCs/>
        </w:rPr>
        <w:t>«Независимая гарантия может быть изменена гарантом в следующем порядке: изменения, связанные с увеличением суммы и (или) срока действия независимой гарантии, внесением правок в целях обеспечения соответствия независимой гарантии условиям документации о закупке, в том числе, в случае отказа бенефициара от принятия независимой гарантии, а также иные изменения, не</w:t>
      </w:r>
    </w:p>
    <w:p>
      <w:pPr>
        <w:pStyle w:val="Style15"/>
        <w:keepNext w:val="0"/>
        <w:keepLines w:val="0"/>
        <w:widowControl w:val="0"/>
        <w:shd w:val="clear" w:color="auto" w:fill="auto"/>
        <w:bidi w:val="0"/>
        <w:spacing w:before="0" w:after="0" w:line="240" w:lineRule="auto"/>
        <w:ind w:left="0" w:right="0" w:firstLine="0"/>
        <w:jc w:val="both"/>
      </w:pPr>
      <w:r>
        <w:rPr>
          <w:rStyle w:val="CharStyle16"/>
          <w:i/>
          <w:iCs/>
        </w:rPr>
        <w:t xml:space="preserve">ухудшающие положение бенифициара, вступают в силу в дату выпуска гарантом изменений в независимую гарантию, согласие бенефициара при этом не требуется», </w:t>
      </w:r>
      <w:r>
        <w:rPr>
          <w:rStyle w:val="CharStyle16"/>
        </w:rPr>
        <w:t xml:space="preserve">поскольку данное условие является абстрактным понятием и по своей сути, подразумевает возможность внесения изменений любых условий в положения гарантии банком без согласия бенефициара, что не предусмотрено типовой формой независимой гарантии,утвержденной Постановлением </w:t>
      </w:r>
      <w:r>
        <w:rPr>
          <w:rStyle w:val="CharStyle16"/>
          <w:lang w:val="en-US" w:eastAsia="en-US"/>
        </w:rPr>
        <w:t>№ 1005.</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На заседании Комиссии Управления представитель ООО КБ «Кубань Кредит» отсутствовал, вместе с этим, в составе возражений ООО КБ «Кубань Кредит» указал, что гарантия была подготовлена по типовой форме, утвержденной в Постановлении Правительства Российской Федерации от </w:t>
      </w:r>
      <w:r>
        <w:rPr>
          <w:rStyle w:val="CharStyle16"/>
          <w:lang w:val="en-US" w:eastAsia="en-US"/>
        </w:rPr>
        <w:t xml:space="preserve">08.11.2013 № 1005 </w:t>
      </w:r>
      <w:r>
        <w:rPr>
          <w:rStyle w:val="CharStyle16"/>
        </w:rPr>
        <w:t xml:space="preserve">«О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 xml:space="preserve">Постановление </w:t>
      </w:r>
      <w:r>
        <w:rPr>
          <w:rStyle w:val="CharStyle16"/>
          <w:lang w:val="en-US" w:eastAsia="en-US"/>
        </w:rPr>
        <w:t xml:space="preserve">№ 1005), </w:t>
      </w:r>
      <w:r>
        <w:rPr>
          <w:rStyle w:val="CharStyle16"/>
        </w:rPr>
        <w:t>не противоречит требованиям Закона о контрактной системе, поскольку независимая гарантия может содержать дополнительные условия (при наличии), которые не должны противоречить положениям извещения об осуществлении закупки.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документы,подтверждающие обоснованность доводов жалобы.</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На заседании Комиссии Управления представитель Заявителя пояснил, что условие о внесении изменений в независимую гарантию, в том числе в части согласия бенефициара на внесение таких изменений, зависят от волеизъявления банка, в связи с чем положения пункта </w:t>
      </w:r>
      <w:r>
        <w:rPr>
          <w:rStyle w:val="CharStyle16"/>
          <w:lang w:val="en-US" w:eastAsia="en-US"/>
        </w:rPr>
        <w:t xml:space="preserve">17.4 </w:t>
      </w:r>
      <w:r>
        <w:rPr>
          <w:rStyle w:val="CharStyle16"/>
        </w:rPr>
        <w:t>независимой гарантии не противоречат требованиям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Вместе с этим Комиссия Управления считает необходимым отметить следующее.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соответствии с ч.8.2 ст.45 Закона о контрактной системе, дополнительные требования к независимой гарантии, используемой для целей Закона о контрактной системе,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Закона о контрактной системе, форма требования об уплате денежной суммы по независимой гарантии устанавливаются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п.1 Постановления </w:t>
      </w:r>
      <w:r>
        <w:rPr>
          <w:rStyle w:val="CharStyle16"/>
          <w:lang w:val="en-US" w:eastAsia="en-US"/>
        </w:rPr>
        <w:t xml:space="preserve">№ 1005 </w:t>
      </w:r>
      <w:r>
        <w:rPr>
          <w:rStyle w:val="CharStyle16"/>
        </w:rPr>
        <w:t>утверждены:</w:t>
      </w:r>
    </w:p>
    <w:p>
      <w:pPr>
        <w:pStyle w:val="Style15"/>
        <w:keepNext w:val="0"/>
        <w:keepLines w:val="0"/>
        <w:widowControl w:val="0"/>
        <w:numPr>
          <w:ilvl w:val="0"/>
          <w:numId w:val="13"/>
        </w:numPr>
        <w:shd w:val="clear" w:color="auto" w:fill="auto"/>
        <w:tabs>
          <w:tab w:pos="932" w:val="left"/>
        </w:tabs>
        <w:bidi w:val="0"/>
        <w:spacing w:before="0" w:after="0" w:line="240" w:lineRule="auto"/>
        <w:ind w:left="0" w:right="0" w:firstLine="720"/>
        <w:jc w:val="both"/>
      </w:pPr>
      <w:r>
        <w:rPr>
          <w:rStyle w:val="CharStyle16"/>
        </w:rPr>
        <w:t xml:space="preserve">дополнительные требования к независимой гарантии, используемой для целей Закона о контрактной системы (далее </w:t>
      </w:r>
      <w:r>
        <w:rPr>
          <w:rStyle w:val="CharStyle16"/>
          <w:lang w:val="en-US" w:eastAsia="en-US"/>
        </w:rPr>
        <w:t xml:space="preserve">– </w:t>
      </w:r>
      <w:r>
        <w:rPr>
          <w:rStyle w:val="CharStyle16"/>
        </w:rPr>
        <w:t>Дополнительные требования);</w:t>
      </w:r>
    </w:p>
    <w:p>
      <w:pPr>
        <w:pStyle w:val="Style15"/>
        <w:keepNext w:val="0"/>
        <w:keepLines w:val="0"/>
        <w:widowControl w:val="0"/>
        <w:numPr>
          <w:ilvl w:val="0"/>
          <w:numId w:val="13"/>
        </w:numPr>
        <w:shd w:val="clear" w:color="auto" w:fill="auto"/>
        <w:tabs>
          <w:tab w:pos="936" w:val="left"/>
        </w:tabs>
        <w:bidi w:val="0"/>
        <w:spacing w:before="0" w:after="0" w:line="240" w:lineRule="auto"/>
        <w:ind w:left="0" w:right="0" w:firstLine="720"/>
        <w:jc w:val="both"/>
      </w:pPr>
      <w:r>
        <w:rPr>
          <w:rStyle w:val="CharStyle16"/>
        </w:rPr>
        <w:t>перечень документов, представляемых заказчиком гаранту одновременно с требованием об осуществлении уплаты денежной суммы по независимой гарантии, правила ведения и размещения в ЕИС реестра независимых гарантий;</w:t>
      </w:r>
    </w:p>
    <w:p>
      <w:pPr>
        <w:pStyle w:val="Style15"/>
        <w:keepNext w:val="0"/>
        <w:keepLines w:val="0"/>
        <w:widowControl w:val="0"/>
        <w:numPr>
          <w:ilvl w:val="0"/>
          <w:numId w:val="13"/>
        </w:numPr>
        <w:shd w:val="clear" w:color="auto" w:fill="auto"/>
        <w:tabs>
          <w:tab w:pos="932" w:val="left"/>
        </w:tabs>
        <w:bidi w:val="0"/>
        <w:spacing w:before="0" w:after="0" w:line="240" w:lineRule="auto"/>
        <w:ind w:left="0" w:right="0" w:firstLine="720"/>
        <w:jc w:val="both"/>
      </w:pPr>
      <w:r>
        <w:rPr>
          <w:rStyle w:val="CharStyle16"/>
        </w:rPr>
        <w:t>форма требования об осуществлении уплаты денежной суммы по независимой гарантии;</w:t>
      </w:r>
    </w:p>
    <w:p>
      <w:pPr>
        <w:pStyle w:val="Style15"/>
        <w:keepNext w:val="0"/>
        <w:keepLines w:val="0"/>
        <w:widowControl w:val="0"/>
        <w:numPr>
          <w:ilvl w:val="0"/>
          <w:numId w:val="13"/>
        </w:numPr>
        <w:shd w:val="clear" w:color="auto" w:fill="auto"/>
        <w:tabs>
          <w:tab w:pos="1589" w:val="left"/>
        </w:tabs>
        <w:bidi w:val="0"/>
        <w:spacing w:before="0" w:after="0" w:line="240" w:lineRule="auto"/>
        <w:ind w:left="0" w:right="0" w:firstLine="720"/>
        <w:jc w:val="both"/>
      </w:pPr>
      <w:r>
        <w:rPr>
          <w:rStyle w:val="CharStyle16"/>
        </w:rPr>
        <w:t>правила формирования и ведения закрытого реестра независимых гарантий;</w:t>
      </w:r>
    </w:p>
    <w:p>
      <w:pPr>
        <w:pStyle w:val="Style15"/>
        <w:keepNext w:val="0"/>
        <w:keepLines w:val="0"/>
        <w:widowControl w:val="0"/>
        <w:numPr>
          <w:ilvl w:val="0"/>
          <w:numId w:val="13"/>
        </w:numPr>
        <w:shd w:val="clear" w:color="auto" w:fill="auto"/>
        <w:tabs>
          <w:tab w:pos="936" w:val="left"/>
        </w:tabs>
        <w:bidi w:val="0"/>
        <w:spacing w:before="0" w:after="0" w:line="240" w:lineRule="auto"/>
        <w:ind w:left="0" w:right="0" w:firstLine="720"/>
        <w:jc w:val="both"/>
      </w:pPr>
      <w:r>
        <w:rPr>
          <w:rStyle w:val="CharStyle16"/>
        </w:rPr>
        <w:t>типовая форма независимой гарантии, предоставляемой в качестве обеспечения заявки на участие в закупке товара, работы, услуги для обеспечения государственных и</w:t>
      </w:r>
    </w:p>
    <w:p>
      <w:pPr>
        <w:pStyle w:val="Style15"/>
        <w:keepNext w:val="0"/>
        <w:keepLines w:val="0"/>
        <w:widowControl w:val="0"/>
        <w:shd w:val="clear" w:color="auto" w:fill="auto"/>
        <w:bidi w:val="0"/>
        <w:spacing w:before="0" w:after="0" w:line="240" w:lineRule="auto"/>
        <w:ind w:left="0" w:right="0" w:firstLine="0"/>
        <w:jc w:val="both"/>
      </w:pPr>
      <w:r>
        <w:rPr>
          <w:rStyle w:val="CharStyle16"/>
        </w:rPr>
        <w:t xml:space="preserve">муниципальных нужд (далее </w:t>
      </w:r>
      <w:r>
        <w:rPr>
          <w:rStyle w:val="CharStyle16"/>
          <w:lang w:val="en-US" w:eastAsia="en-US"/>
        </w:rPr>
        <w:t xml:space="preserve">– </w:t>
      </w:r>
      <w:r>
        <w:rPr>
          <w:rStyle w:val="CharStyle16"/>
        </w:rPr>
        <w:t>Типовая форма);</w:t>
      </w:r>
    </w:p>
    <w:p>
      <w:pPr>
        <w:pStyle w:val="Style15"/>
        <w:keepNext w:val="0"/>
        <w:keepLines w:val="0"/>
        <w:widowControl w:val="0"/>
        <w:numPr>
          <w:ilvl w:val="0"/>
          <w:numId w:val="13"/>
        </w:numPr>
        <w:shd w:val="clear" w:color="auto" w:fill="auto"/>
        <w:tabs>
          <w:tab w:pos="913" w:val="left"/>
        </w:tabs>
        <w:bidi w:val="0"/>
        <w:spacing w:before="0" w:after="0" w:line="240" w:lineRule="auto"/>
        <w:ind w:left="0" w:right="0" w:firstLine="700"/>
        <w:jc w:val="both"/>
      </w:pPr>
      <w:r>
        <w:rPr>
          <w:rStyle w:val="CharStyle16"/>
        </w:rPr>
        <w:t>типовая форма независимой гарантии, предоставляемой в качестве обеспечения исполнения контракта.</w:t>
      </w:r>
    </w:p>
    <w:p>
      <w:pPr>
        <w:pStyle w:val="Style15"/>
        <w:keepNext w:val="0"/>
        <w:keepLines w:val="0"/>
        <w:widowControl w:val="0"/>
        <w:shd w:val="clear" w:color="auto" w:fill="auto"/>
        <w:bidi w:val="0"/>
        <w:spacing w:before="0" w:after="0" w:line="240" w:lineRule="auto"/>
        <w:ind w:left="0" w:right="0" w:firstLine="700"/>
        <w:jc w:val="both"/>
      </w:pPr>
      <w:r>
        <w:rPr>
          <w:rStyle w:val="CharStyle16"/>
        </w:rPr>
        <w:t>Комиссия Управления отмечает, что п.17 Типовой формы независимой гарантии предусматривается возможность указания дополнительных условий независимой гарантии, однако такие дополнительные условия не должны противоречить Закону о контрактной системе и положениям извещения о закупке, проводимой на заключение контракта, в обеспечение которого представляется независимая гарантия.</w:t>
      </w:r>
    </w:p>
    <w:p>
      <w:pPr>
        <w:pStyle w:val="Style15"/>
        <w:keepNext w:val="0"/>
        <w:keepLines w:val="0"/>
        <w:widowControl w:val="0"/>
        <w:shd w:val="clear" w:color="auto" w:fill="auto"/>
        <w:bidi w:val="0"/>
        <w:spacing w:before="0" w:after="0" w:line="240" w:lineRule="auto"/>
        <w:ind w:left="0" w:right="0" w:firstLine="700"/>
        <w:jc w:val="both"/>
      </w:pPr>
      <w:r>
        <w:rPr>
          <w:rStyle w:val="CharStyle16"/>
        </w:rPr>
        <w:t>Вместе с этим вышеуказанное дополнительное условие независимой гарантии, указанное в п.17.4, по своей сути подразумевает возможность внесения изменений в положения независимой гарантии банком без согласия Бенефициара, при этом указание в тексте спорного пункта независимой гарантии оговорки «а также иные изменения, не ухудшающие положения Бенефициара», без указания закрытого перечня условий не ухудшающих положения Бенефициара, свидетельствует о возможности банка в свободной форме трактовать данное положение и определять условия, не ухудшающие положения Бенефициара, без согласования таких условий с Бенефициаром, и дальнейшем внесением изменений в положения независимой гарантии.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Таким образом, Комиссия Управления приходит к выводу, что положения п.17.4 спорной независимой гарантии установлены неоднозначным образом и могут повлечь за собой ограничение прав и законных интересов Бенефициара, в том числе повлечь за собой ограничение выплат по спорной независимой гарантии.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Таким образом, Комиссия Управления приходит к выводу, что у Заказчика имелись основания для признания независимой гарантии несоответствующей требованиям извещения и принятие Заказчиком решения о признания участника уклонившимся от заключения контракта не противоречит положениям Закона о контрактной системе.</w:t>
      </w:r>
    </w:p>
    <w:p>
      <w:pPr>
        <w:pStyle w:val="Style15"/>
        <w:keepNext w:val="0"/>
        <w:keepLines w:val="0"/>
        <w:widowControl w:val="0"/>
        <w:shd w:val="clear" w:color="auto" w:fill="auto"/>
        <w:bidi w:val="0"/>
        <w:spacing w:before="0" w:after="0" w:line="240" w:lineRule="auto"/>
        <w:ind w:left="0" w:right="0" w:firstLine="700"/>
        <w:jc w:val="both"/>
      </w:pPr>
      <w:r>
        <w:rPr>
          <w:rStyle w:val="CharStyle16"/>
        </w:rPr>
        <w:t>На основании вышеизложенного Комиссия Управления приходит к выводу, что доводы жалобы не нашли своего подтверждения и являются необоснованными.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Одновременно с этим в ходе проведения внеплановой проверки Комиссией Управления установлено следующее.</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Типовая форма утверждена постановлением Правительства Российской Федерации от </w:t>
      </w:r>
      <w:r>
        <w:rPr>
          <w:rStyle w:val="CharStyle16"/>
          <w:lang w:val="en-US" w:eastAsia="en-US"/>
        </w:rPr>
        <w:t xml:space="preserve">09.08.2022 № 1397 </w:t>
      </w:r>
      <w:r>
        <w:rPr>
          <w:rStyle w:val="CharStyle16"/>
        </w:rPr>
        <w:t>«О независимых гарантиях, предоставляемых 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и независимых гарантиях, предоставляемых в качестве обеспечения исполнения договора, заключаемого по результатам такой закупки, а также о внесении изменений в некоторые акты Правительства Российской Федерации».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Как установлено ранее типовой формой предусмотрено включение в независимую гарантию, в том числе, дополнительных условий независимой гарантии, однако такие дополнительные условия не должны противоречить</w:t>
      </w:r>
    </w:p>
    <w:p>
      <w:pPr>
        <w:pStyle w:val="Style15"/>
        <w:keepNext w:val="0"/>
        <w:keepLines w:val="0"/>
        <w:widowControl w:val="0"/>
        <w:shd w:val="clear" w:color="auto" w:fill="auto"/>
        <w:bidi w:val="0"/>
        <w:spacing w:before="0" w:after="0" w:line="240" w:lineRule="auto"/>
        <w:ind w:left="0" w:right="0" w:firstLine="0"/>
        <w:jc w:val="both"/>
      </w:pPr>
      <w:r>
        <w:rPr>
          <w:rStyle w:val="CharStyle16"/>
        </w:rPr>
        <w:t>Закону о контрактной системе и положениям извещения о закупке, проводимой на заключение контракта, в обеспечение которого представляется независимая гарантия.</w:t>
      </w:r>
    </w:p>
    <w:p>
      <w:pPr>
        <w:pStyle w:val="Style15"/>
        <w:keepNext w:val="0"/>
        <w:keepLines w:val="0"/>
        <w:widowControl w:val="0"/>
        <w:shd w:val="clear" w:color="auto" w:fill="auto"/>
        <w:bidi w:val="0"/>
        <w:spacing w:before="0" w:after="0" w:line="240" w:lineRule="auto"/>
        <w:ind w:left="0" w:right="0" w:firstLine="700"/>
        <w:jc w:val="both"/>
      </w:pPr>
      <w:r>
        <w:rPr>
          <w:rStyle w:val="CharStyle16"/>
        </w:rPr>
        <w:t>Вместе с этим, как установлено Комиссией Управления в тексте независимой гарантии присутствует несоответствующее требованиям извещения положение, в части п.17.4.</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При этом независимая гарантия выдана Заявителю </w:t>
      </w:r>
      <w:r>
        <w:rPr>
          <w:rStyle w:val="CharStyle16"/>
          <w:lang w:val="en-US" w:eastAsia="en-US"/>
        </w:rPr>
        <w:t xml:space="preserve">01.09.2025, </w:t>
      </w:r>
      <w:r>
        <w:rPr>
          <w:rStyle w:val="CharStyle16"/>
        </w:rPr>
        <w:t>что указывает на то, что на момент выдачи независимой гарантии Заявителю Типовая форма независимой гарантии, предоставляемой в качестве обеспечения исполнения контракта, является обязательной.</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На основании вышеизложенного Комиссия приходит к выводу, что независимая гарантия, выданная ООО КБ «Кубань Кредит», не соответствует требованиям Типовой формы, так как указанное в независимой гарантии положение </w:t>
      </w:r>
      <w:r>
        <w:rPr>
          <w:rStyle w:val="CharStyle16"/>
          <w:lang w:val="en-US" w:eastAsia="en-US"/>
        </w:rPr>
        <w:t xml:space="preserve">17.4 </w:t>
      </w:r>
      <w:r>
        <w:rPr>
          <w:rStyle w:val="CharStyle16"/>
        </w:rPr>
        <w:t>может повлечь за собой ограничение прав и законных интересов Бенефициара, в том числе повлечь за собой ограничение выплат по спорной независимой гарантии.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Таким образом, вышеуказанные действия ООО КБ «Кубань Кредит» нарушают ч.8.2 ст.45 Закона о контрактной системе.</w:t>
      </w:r>
    </w:p>
    <w:p>
      <w:pPr>
        <w:pStyle w:val="Style15"/>
        <w:keepNext w:val="0"/>
        <w:keepLines w:val="0"/>
        <w:widowControl w:val="0"/>
        <w:shd w:val="clear" w:color="auto" w:fill="auto"/>
        <w:bidi w:val="0"/>
        <w:spacing w:before="0" w:after="0" w:line="240" w:lineRule="auto"/>
        <w:ind w:left="0" w:right="0" w:firstLine="700"/>
        <w:jc w:val="both"/>
      </w:pPr>
      <w:r>
        <w:rPr>
          <w:rStyle w:val="CharStyle16"/>
        </w:rPr>
        <w:t>Исходя из вышеизложенного, Комиссия Управления приходит к выводу о нарушении Банком ч.8.2 ст.45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ч.9 ст.7.30.1 Кодекса Российской Федерации об административных правонарушениях.</w:t>
      </w:r>
    </w:p>
    <w:p>
      <w:pPr>
        <w:pStyle w:val="Style15"/>
        <w:keepNext w:val="0"/>
        <w:keepLines w:val="0"/>
        <w:widowControl w:val="0"/>
        <w:shd w:val="clear" w:color="auto" w:fill="auto"/>
        <w:bidi w:val="0"/>
        <w:spacing w:before="0" w:after="0" w:line="240" w:lineRule="auto"/>
        <w:ind w:left="0" w:right="0" w:firstLine="700"/>
        <w:jc w:val="both"/>
        <w:sectPr>
          <w:headerReference w:type="default" r:id="rId17"/>
          <w:footerReference w:type="default" r:id="rId18"/>
          <w:footnotePr>
            <w:pos w:val="pageBottom"/>
            <w:numFmt w:val="decimal"/>
            <w:numRestart w:val="continuous"/>
          </w:footnotePr>
          <w:pgSz w:w="11900" w:h="16840"/>
          <w:pgMar w:top="1149" w:right="536" w:bottom="1195" w:left="1088" w:header="0" w:footer="3" w:gutter="0"/>
          <w:cols w:space="720"/>
          <w:noEndnote/>
          <w:rtlGutter w:val="0"/>
          <w:docGrid w:linePitch="360"/>
        </w:sectPr>
      </w:pPr>
      <w:r>
        <w:rPr>
          <w:rStyle w:val="CharStyle16"/>
        </w:rPr>
        <w:t>Исследовав представленные материалы, руководствуясь Законом о контрактной системе, Комиссия Управления</w:t>
      </w:r>
    </w:p>
    <w:p>
      <w:pPr>
        <w:pStyle w:val="Style15"/>
        <w:keepNext w:val="0"/>
        <w:keepLines w:val="0"/>
        <w:widowControl w:val="0"/>
        <w:shd w:val="clear" w:color="auto" w:fill="auto"/>
        <w:bidi w:val="0"/>
        <w:spacing w:before="0" w:after="300" w:line="240" w:lineRule="auto"/>
        <w:ind w:left="0" w:right="0" w:firstLine="0"/>
        <w:jc w:val="center"/>
      </w:pPr>
      <w:r>
        <w:rPr>
          <w:rStyle w:val="CharStyle16"/>
          <w:b/>
          <w:bCs/>
        </w:rPr>
        <w:t>Р Е Ш И Л А:</w:t>
      </w:r>
    </w:p>
    <w:p>
      <w:pPr>
        <w:pStyle w:val="Style15"/>
        <w:keepNext w:val="0"/>
        <w:keepLines w:val="0"/>
        <w:widowControl w:val="0"/>
        <w:numPr>
          <w:ilvl w:val="0"/>
          <w:numId w:val="15"/>
        </w:numPr>
        <w:shd w:val="clear" w:color="auto" w:fill="auto"/>
        <w:tabs>
          <w:tab w:pos="1411" w:val="left"/>
        </w:tabs>
        <w:bidi w:val="0"/>
        <w:spacing w:before="0" w:after="0" w:line="252" w:lineRule="auto"/>
        <w:ind w:left="0" w:right="0" w:firstLine="700"/>
        <w:jc w:val="both"/>
      </w:pPr>
      <w:r>
        <w:rPr>
          <w:rStyle w:val="CharStyle16"/>
        </w:rPr>
        <w:t>Признать жалобу ИП Дума А.В. на действия комиссии по осуществлению закупок ГУП «Мосгортранс» необоснованной.</w:t>
      </w:r>
    </w:p>
    <w:p>
      <w:pPr>
        <w:pStyle w:val="Style15"/>
        <w:keepNext w:val="0"/>
        <w:keepLines w:val="0"/>
        <w:widowControl w:val="0"/>
        <w:numPr>
          <w:ilvl w:val="0"/>
          <w:numId w:val="15"/>
        </w:numPr>
        <w:shd w:val="clear" w:color="auto" w:fill="auto"/>
        <w:tabs>
          <w:tab w:pos="1411" w:val="left"/>
        </w:tabs>
        <w:bidi w:val="0"/>
        <w:spacing w:before="0" w:after="0" w:line="252" w:lineRule="auto"/>
        <w:ind w:left="0" w:right="0" w:firstLine="700"/>
        <w:jc w:val="both"/>
      </w:pPr>
      <w:r>
        <w:rPr>
          <w:rStyle w:val="CharStyle16"/>
        </w:rPr>
        <w:t>Признать в действиях ООО КБ «Калуга» нарушения ч.8.2 ст.45 Закона о контрактной системе.</w:t>
      </w:r>
    </w:p>
    <w:p>
      <w:pPr>
        <w:pStyle w:val="Style15"/>
        <w:keepNext w:val="0"/>
        <w:keepLines w:val="0"/>
        <w:widowControl w:val="0"/>
        <w:numPr>
          <w:ilvl w:val="0"/>
          <w:numId w:val="15"/>
        </w:numPr>
        <w:shd w:val="clear" w:color="auto" w:fill="auto"/>
        <w:tabs>
          <w:tab w:pos="1411" w:val="left"/>
        </w:tabs>
        <w:bidi w:val="0"/>
        <w:spacing w:before="0" w:after="300" w:line="252" w:lineRule="auto"/>
        <w:ind w:left="0" w:right="0" w:firstLine="700"/>
        <w:jc w:val="both"/>
      </w:pPr>
      <w:r>
        <w:rPr>
          <w:rStyle w:val="CharStyle16"/>
        </w:rPr>
        <w:t xml:space="preserve">Обязательное для исполнения предписание об устранении нарушений законодательства о контрактной системе Заказчику не выдавать, поскольку Заказчику предписание выдано в рамках рассмотрения обращения ГУП «Мосгортранс» о рассмотрении вопроса о включении сведений в отношении ИП Дума А.В. в реестр недобросовестных поставщиков по делу </w:t>
      </w:r>
      <w:r>
        <w:rPr>
          <w:rStyle w:val="CharStyle16"/>
          <w:lang w:val="en-US" w:eastAsia="en-US"/>
        </w:rPr>
        <w:t>№ 077/10/104</w:t>
        <w:softHyphen/>
        <w:t xml:space="preserve">11045/2025 </w:t>
      </w:r>
      <w:r>
        <w:rPr>
          <w:rStyle w:val="CharStyle16"/>
        </w:rPr>
        <w:t xml:space="preserve">от </w:t>
      </w:r>
      <w:r>
        <w:rPr>
          <w:rStyle w:val="CharStyle16"/>
          <w:lang w:val="en-US" w:eastAsia="en-US"/>
        </w:rPr>
        <w:t xml:space="preserve">08.09.2025, </w:t>
      </w:r>
      <w:r>
        <w:rPr>
          <w:rStyle w:val="CharStyle16"/>
        </w:rPr>
        <w:t>при этом при исполнении предписания по вышеуказанному делу Заказчику необходимо руководствоваться также позицией контролирующего органа, изложенной в настоящем решении.</w:t>
      </w:r>
    </w:p>
    <w:p>
      <w:pPr>
        <w:pStyle w:val="Style15"/>
        <w:keepNext w:val="0"/>
        <w:keepLines w:val="0"/>
        <w:widowControl w:val="0"/>
        <w:shd w:val="clear" w:color="auto" w:fill="auto"/>
        <w:bidi w:val="0"/>
        <w:spacing w:before="0" w:after="0" w:line="252" w:lineRule="auto"/>
        <w:ind w:left="0" w:right="0" w:firstLine="700"/>
        <w:jc w:val="both"/>
      </w:pPr>
      <w:r>
        <w:rPr>
          <w:rStyle w:val="CharStyle16"/>
        </w:rPr>
        <w:t xml:space="preserve">Решение может быть обжаловано в судебном порядке в Арбитражном суде г. Москвы в течение </w:t>
      </w:r>
      <w:r>
        <w:rPr>
          <w:rStyle w:val="CharStyle16"/>
          <w:lang w:val="en-US" w:eastAsia="en-US"/>
        </w:rPr>
        <w:t xml:space="preserve">3 </w:t>
      </w:r>
      <w:r>
        <w:rPr>
          <w:rStyle w:val="CharStyle16"/>
        </w:rPr>
        <w:t xml:space="preserve">(трех) месяцев с даты его принятия в порядке, установленным гл. </w:t>
      </w:r>
      <w:r>
        <w:rPr>
          <w:rStyle w:val="CharStyle16"/>
          <w:lang w:val="en-US" w:eastAsia="en-US"/>
        </w:rPr>
        <w:t xml:space="preserve">24 </w:t>
      </w:r>
      <w:r>
        <w:rPr>
          <w:rStyle w:val="CharStyle16"/>
        </w:rPr>
        <w:t>АПК РФ.</w:t>
      </w:r>
    </w:p>
    <w:p>
      <w:pPr>
        <w:widowControl w:val="0"/>
        <w:spacing w:line="1" w:lineRule="exact"/>
        <w:sectPr>
          <w:footnotePr>
            <w:pos w:val="pageBottom"/>
            <w:numFmt w:val="decimal"/>
            <w:numRestart w:val="continuous"/>
          </w:footnotePr>
          <w:pgSz w:w="11900" w:h="16840"/>
          <w:pgMar w:top="1158" w:right="532" w:bottom="1297" w:left="1106" w:header="0" w:footer="3" w:gutter="0"/>
          <w:cols w:space="720"/>
          <w:noEndnote/>
          <w:rtlGutter w:val="0"/>
          <w:docGrid w:linePitch="360"/>
        </w:sectPr>
      </w:pPr>
      <w:r>
        <mc:AlternateContent>
          <mc:Choice Requires="wps">
            <w:drawing>
              <wp:anchor distT="127000" distB="161925" distL="0" distR="0" simplePos="0" relativeHeight="125829378" behindDoc="0" locked="0" layoutInCell="1" allowOverlap="1">
                <wp:simplePos x="0" y="0"/>
                <wp:positionH relativeFrom="page">
                  <wp:posOffset>739140</wp:posOffset>
                </wp:positionH>
                <wp:positionV relativeFrom="paragraph">
                  <wp:posOffset>127000</wp:posOffset>
                </wp:positionV>
                <wp:extent cx="1844040" cy="252730"/>
                <wp:wrapTopAndBottom/>
                <wp:docPr id="17" name="Shape 17"/>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Председательствующий</w:t>
                            </w:r>
                          </w:p>
                        </w:txbxContent>
                      </wps:txbx>
                      <wps:bodyPr wrap="none" lIns="0" tIns="0" rIns="0" bIns="0">
                        <a:noAutoFit/>
                      </wps:bodyPr>
                    </wps:wsp>
                  </a:graphicData>
                </a:graphic>
              </wp:anchor>
            </w:drawing>
          </mc:Choice>
          <mc:Fallback>
            <w:pict>
              <v:shape id="_x0000_s1043" type="#_x0000_t202" style="position:absolute;margin-left:58.200000000000003pt;margin-top:10.pt;width:145.20000000000002pt;height:19.900000000000002pt;z-index:-125829375;mso-wrap-distance-left:0;mso-wrap-distance-top:10.pt;mso-wrap-distance-right:0;mso-wrap-distance-bottom:12.7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Председательствующий</w:t>
                      </w:r>
                    </w:p>
                  </w:txbxContent>
                </v:textbox>
                <w10:wrap type="topAndBottom" anchorx="page"/>
              </v:shape>
            </w:pict>
          </mc:Fallback>
        </mc:AlternateContent>
      </w:r>
      <w:r>
        <w:drawing>
          <wp:anchor distT="145415" distB="0" distL="0" distR="1786255" simplePos="0" relativeHeight="125829380" behindDoc="0" locked="0" layoutInCell="1" allowOverlap="1">
            <wp:simplePos x="0" y="0"/>
            <wp:positionH relativeFrom="page">
              <wp:posOffset>3049270</wp:posOffset>
            </wp:positionH>
            <wp:positionV relativeFrom="paragraph">
              <wp:posOffset>145415</wp:posOffset>
            </wp:positionV>
            <wp:extent cx="359410" cy="39624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9"/>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3469640</wp:posOffset>
                </wp:positionH>
                <wp:positionV relativeFrom="paragraph">
                  <wp:posOffset>233680</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73.19999999999999pt;margin-top:18.400000000000002pt;width:135.59999999999999pt;height:20.400000000000002pt;z-index:251657729;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161925" distL="0" distR="0" simplePos="0" relativeHeight="125829381" behindDoc="0" locked="0" layoutInCell="1" allowOverlap="1">
                <wp:simplePos x="0" y="0"/>
                <wp:positionH relativeFrom="page">
                  <wp:posOffset>5914390</wp:posOffset>
                </wp:positionH>
                <wp:positionV relativeFrom="paragraph">
                  <wp:posOffset>127000</wp:posOffset>
                </wp:positionV>
                <wp:extent cx="1304290" cy="252730"/>
                <wp:wrapTopAndBottom/>
                <wp:docPr id="23" name="Shape 23"/>
                <a:graphic xmlns:a="http://schemas.openxmlformats.org/drawingml/2006/main">
                  <a:graphicData uri="http://schemas.microsoft.com/office/word/2010/wordprocessingShape">
                    <wps:wsp>
                      <wps:cNvSpPr txBox="1"/>
                      <wps:spPr>
                        <a:xfrm>
                          <a:ext cx="130429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Е.Д. Мартьянова</w:t>
                            </w:r>
                          </w:p>
                        </w:txbxContent>
                      </wps:txbx>
                      <wps:bodyPr wrap="none" lIns="0" tIns="0" rIns="0" bIns="0">
                        <a:noAutoFit/>
                      </wps:bodyPr>
                    </wps:wsp>
                  </a:graphicData>
                </a:graphic>
              </wp:anchor>
            </w:drawing>
          </mc:Choice>
          <mc:Fallback>
            <w:pict>
              <v:shape id="_x0000_s1049" type="#_x0000_t202" style="position:absolute;margin-left:465.69999999999999pt;margin-top:10.pt;width:102.7pt;height:19.900000000000002pt;z-index:-125829372;mso-wrap-distance-left:0;mso-wrap-distance-top:10.pt;mso-wrap-distance-right:0;mso-wrap-distance-bottom:12.7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Е.Д. Мартьянова</w:t>
                      </w:r>
                    </w:p>
                  </w:txbxContent>
                </v:textbox>
                <w10:wrap type="topAndBottom" anchorx="page"/>
              </v:shape>
            </w:pict>
          </mc:Fallback>
        </mc:AlternateConten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3"/>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Мартьянова Елена Дмитриевна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009EC19D0AD083DC593EE489E44F6A415</w:t>
      </w:r>
      <w:r>
        <w:rPr>
          <w:rStyle w:val="CharStyle25"/>
          <w:lang w:val="en-US" w:eastAsia="en-US"/>
        </w:rPr>
        <w:t>7</w:t>
      </w:r>
    </w:p>
    <w:p>
      <w:pPr>
        <w:pStyle w:val="Style24"/>
        <w:keepNext w:val="0"/>
        <w:keepLines w:val="0"/>
        <w:widowControl w:val="0"/>
        <w:shd w:val="clear" w:color="auto" w:fill="auto"/>
        <w:bidi w:val="0"/>
        <w:spacing w:before="0" w:after="180" w:line="240" w:lineRule="auto"/>
        <w:ind w:right="0" w:firstLine="0"/>
        <w:jc w:val="left"/>
      </w:pPr>
      <w:r>
        <w:rPr>
          <w:rStyle w:val="CharStyle25"/>
        </w:rPr>
        <w:t xml:space="preserve">Действителен с </w:t>
      </w:r>
      <w:r>
        <w:rPr>
          <w:rStyle w:val="CharStyle25"/>
          <w:color w:val="5B5B5B"/>
        </w:rPr>
        <w:t xml:space="preserve">21.01.2025 по </w:t>
      </w:r>
      <w:r>
        <w:rPr>
          <w:rStyle w:val="CharStyle25"/>
        </w:rPr>
        <w:t>16.04.2026</w:t>
      </w:r>
    </w:p>
    <w:p>
      <w:pPr>
        <w:pStyle w:val="Style15"/>
        <w:keepNext w:val="0"/>
        <w:keepLines w:val="0"/>
        <w:widowControl w:val="0"/>
        <w:shd w:val="clear" w:color="auto" w:fill="auto"/>
        <w:bidi w:val="0"/>
        <w:spacing w:before="0" w:after="100" w:line="240" w:lineRule="auto"/>
        <w:ind w:left="0" w:right="0" w:firstLine="0"/>
        <w:jc w:val="left"/>
      </w:pPr>
      <w:r>
        <w:rPr>
          <w:rStyle w:val="CharStyle16"/>
        </w:rPr>
        <w:t>Члены комиссии:</w:t>
      </w:r>
    </w:p>
    <w:p>
      <w:pPr>
        <w:pStyle w:val="Style15"/>
        <w:keepNext w:val="0"/>
        <w:keepLines w:val="0"/>
        <w:widowControl w:val="0"/>
        <w:shd w:val="clear" w:color="auto" w:fill="auto"/>
        <w:bidi w:val="0"/>
        <w:spacing w:before="0" w:after="560" w:line="240" w:lineRule="auto"/>
        <w:ind w:left="1380" w:right="0" w:firstLine="0"/>
        <w:jc w:val="left"/>
      </w:pPr>
      <w:r>
        <w:drawing>
          <wp:anchor distT="0" distB="0" distL="114300" distR="1900555" simplePos="0" relativeHeight="125829383" behindDoc="0" locked="0" layoutInCell="1" allowOverlap="1">
            <wp:simplePos x="0" y="0"/>
            <wp:positionH relativeFrom="page">
              <wp:posOffset>3049270</wp:posOffset>
            </wp:positionH>
            <wp:positionV relativeFrom="paragraph">
              <wp:posOffset>12700</wp:posOffset>
            </wp:positionV>
            <wp:extent cx="359410" cy="52451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21"/>
                    <a:stretch/>
                  </pic:blipFill>
                  <pic:spPr>
                    <a:xfrm>
                      <a:ext cx="359410" cy="5245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3509645</wp:posOffset>
                </wp:positionH>
                <wp:positionV relativeFrom="paragraph">
                  <wp:posOffset>417830</wp:posOffset>
                </wp:positionV>
                <wp:extent cx="1283335" cy="100330"/>
                <wp:wrapNone/>
                <wp:docPr id="27" name="Shape 2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3"/>
                                <w:color w:val="FFFFFF"/>
                                <w:sz w:val="12"/>
                                <w:szCs w:val="12"/>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76.35000000000002pt;margin-top:32.899999999999999pt;width:101.05pt;height:7.9000000000000004pt;z-index:251657731;mso-wrap-distance-left:0;mso-wrap-distance-right:0;mso-position-horizontal-relative:page" filled="f" stroked="f">
                <v:textbox inset="0,0,0,0">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3"/>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3469640</wp:posOffset>
                </wp:positionH>
                <wp:positionV relativeFrom="paragraph">
                  <wp:posOffset>100965</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3.19999999999999pt;margin-top:7.9500000000000002pt;width:135.59999999999999pt;height:20.400000000000002pt;z-index:251657733;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6"/>
        </w:rPr>
        <w:t>А.А. Леонова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Леонова Алена Альбертовна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009389F972AA570F22D19E7C51D28B0906</w:t>
      </w:r>
    </w:p>
    <w:p>
      <w:pPr>
        <w:pStyle w:val="Style24"/>
        <w:keepNext w:val="0"/>
        <w:keepLines w:val="0"/>
        <w:widowControl w:val="0"/>
        <w:shd w:val="clear" w:color="auto" w:fill="auto"/>
        <w:bidi w:val="0"/>
        <w:spacing w:before="0" w:after="180" w:line="240" w:lineRule="auto"/>
        <w:ind w:right="0" w:firstLine="0"/>
        <w:jc w:val="left"/>
      </w:pPr>
      <w:r>
        <w:rPr>
          <w:rStyle w:val="CharStyle25"/>
        </w:rPr>
        <w:t>Действителен с 20.09.2024 по 14.12.2025</w:t>
      </w:r>
    </w:p>
    <w:p>
      <w:pPr>
        <w:pStyle w:val="Style15"/>
        <w:keepNext w:val="0"/>
        <w:keepLines w:val="0"/>
        <w:widowControl w:val="0"/>
        <w:shd w:val="clear" w:color="auto" w:fill="auto"/>
        <w:bidi w:val="0"/>
        <w:spacing w:before="0" w:after="370" w:line="240" w:lineRule="auto"/>
        <w:ind w:left="0" w:right="0" w:firstLine="760"/>
        <w:jc w:val="left"/>
      </w:pPr>
      <w:r>
        <w:drawing>
          <wp:anchor distT="0" distB="0" distL="114300" distR="1927860" simplePos="0" relativeHeight="125829384" behindDoc="0" locked="0" layoutInCell="1" allowOverlap="1">
            <wp:simplePos x="0" y="0"/>
            <wp:positionH relativeFrom="page">
              <wp:posOffset>3079750</wp:posOffset>
            </wp:positionH>
            <wp:positionV relativeFrom="paragraph">
              <wp:posOffset>88900</wp:posOffset>
            </wp:positionV>
            <wp:extent cx="298450" cy="347345"/>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3"/>
                    <a:stretch/>
                  </pic:blipFill>
                  <pic:spPr>
                    <a:xfrm>
                      <a:ext cx="298450" cy="34734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3467100</wp:posOffset>
                </wp:positionH>
                <wp:positionV relativeFrom="paragraph">
                  <wp:posOffset>149860</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 xml:space="preserve">Подлинник электронного документа, подписанного </w:t>
                            </w:r>
                            <w:r>
                              <w:rPr>
                                <w:rStyle w:val="CharStyle13"/>
                                <w:color w:val="000000"/>
                              </w:rPr>
                              <w:t xml:space="preserve">ЭП, </w:t>
                            </w:r>
                            <w:r>
                              <w:rPr>
                                <w:rStyle w:val="CharStyle13"/>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3.pt;margin-top:11.800000000000001pt;width:135.59999999999999pt;height:20.400000000000002pt;z-index:251657735;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 xml:space="preserve">Подлинник электронного документа, подписанного </w:t>
                      </w:r>
                      <w:r>
                        <w:rPr>
                          <w:rStyle w:val="CharStyle13"/>
                          <w:color w:val="000000"/>
                        </w:rPr>
                        <w:t xml:space="preserve">ЭП, </w:t>
                      </w:r>
                      <w:r>
                        <w:rPr>
                          <w:rStyle w:val="CharStyle13"/>
                        </w:rPr>
                        <w:t>хранится в системе электронного документооборота ФАС России</w:t>
                      </w:r>
                    </w:p>
                  </w:txbxContent>
                </v:textbox>
                <w10:wrap anchorx="page"/>
              </v:shape>
            </w:pict>
          </mc:Fallback>
        </mc:AlternateContent>
      </w:r>
      <w:r>
        <w:rPr>
          <w:rStyle w:val="CharStyle16"/>
        </w:rPr>
        <w:t>А.И. Рахматуллаев</w: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3"/>
          <w:color w:val="E7E7E7"/>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Рахматуллаев Алексей Ильич</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7AEE97A08C8432425F146F6255A521C3</w:t>
      </w:r>
    </w:p>
    <w:p>
      <w:pPr>
        <w:pStyle w:val="Style24"/>
        <w:keepNext w:val="0"/>
        <w:keepLines w:val="0"/>
        <w:widowControl w:val="0"/>
        <w:shd w:val="clear" w:color="auto" w:fill="auto"/>
        <w:bidi w:val="0"/>
        <w:spacing w:before="0" w:after="2700" w:line="240" w:lineRule="auto"/>
        <w:ind w:right="0" w:firstLine="0"/>
        <w:jc w:val="left"/>
      </w:pPr>
      <w:r>
        <w:rPr>
          <w:rStyle w:val="CharStyle25"/>
        </w:rPr>
        <w:t>Действителен с 12.11.2024 по 05.02.2026</w:t>
      </w:r>
    </w:p>
    <w:p>
      <w:pPr>
        <w:pStyle w:val="Style30"/>
        <w:keepNext w:val="0"/>
        <w:keepLines w:val="0"/>
        <w:widowControl w:val="0"/>
        <w:shd w:val="clear" w:color="auto" w:fill="auto"/>
        <w:bidi w:val="0"/>
        <w:spacing w:before="0" w:line="240" w:lineRule="auto"/>
        <w:ind w:left="0" w:right="0" w:firstLine="0"/>
        <w:jc w:val="both"/>
      </w:pPr>
      <w:r>
        <w:rPr>
          <w:rStyle w:val="CharStyle31"/>
        </w:rPr>
        <w:t>Исп.Рахматуллаев А.И. тел.+7 495 784 75 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10096500</wp:posOffset>
              </wp:positionV>
              <wp:extent cx="722630" cy="103505"/>
              <wp:wrapNone/>
              <wp:docPr id="5" name="Shape 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2025-41352</w:t>
                          </w:r>
                        </w:p>
                      </w:txbxContent>
                    </wps:txbx>
                    <wps:bodyPr wrap="none" lIns="0" tIns="0" rIns="0" bIns="0">
                      <a:spAutoFit/>
                    </wps:bodyPr>
                  </wps:wsp>
                </a:graphicData>
              </a:graphic>
            </wp:anchor>
          </w:drawing>
        </mc:Choice>
        <mc:Fallback>
          <w:pict>
            <v:shape id="_x0000_s1031" type="#_x0000_t202" style="position:absolute;margin-left:57.200000000000003pt;margin-top:79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2025-41352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727075</wp:posOffset>
              </wp:positionH>
              <wp:positionV relativeFrom="page">
                <wp:posOffset>10217150</wp:posOffset>
              </wp:positionV>
              <wp:extent cx="707390" cy="103505"/>
              <wp:wrapNone/>
              <wp:docPr id="7" name="Shape 7"/>
              <a:graphic xmlns:a="http://schemas.openxmlformats.org/drawingml/2006/main">
                <a:graphicData uri="http://schemas.microsoft.com/office/word/2010/wordprocessingShape">
                  <wps:wsp>
                    <wps:cNvSpPr txBox="1"/>
                    <wps:spPr>
                      <a:xfrm>
                        <a:ext cx="70739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2025-41352</w:t>
                          </w:r>
                        </w:p>
                      </w:txbxContent>
                    </wps:txbx>
                    <wps:bodyPr wrap="none" lIns="0" tIns="0" rIns="0" bIns="0">
                      <a:spAutoFit/>
                    </wps:bodyPr>
                  </wps:wsp>
                </a:graphicData>
              </a:graphic>
            </wp:anchor>
          </w:drawing>
        </mc:Choice>
        <mc:Fallback>
          <w:pict>
            <v:shape id="_x0000_s1033" type="#_x0000_t202" style="position:absolute;margin-left:57.25pt;margin-top:804.5pt;width:55.700000000000003pt;height:8.1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2025-41352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726440</wp:posOffset>
              </wp:positionH>
              <wp:positionV relativeFrom="page">
                <wp:posOffset>10096500</wp:posOffset>
              </wp:positionV>
              <wp:extent cx="722630" cy="103505"/>
              <wp:wrapNone/>
              <wp:docPr id="15" name="Shape 1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2025-41352</w:t>
                          </w:r>
                        </w:p>
                      </w:txbxContent>
                    </wps:txbx>
                    <wps:bodyPr wrap="none" lIns="0" tIns="0" rIns="0" bIns="0">
                      <a:spAutoFit/>
                    </wps:bodyPr>
                  </wps:wsp>
                </a:graphicData>
              </a:graphic>
            </wp:anchor>
          </w:drawing>
        </mc:Choice>
        <mc:Fallback>
          <w:pict>
            <v:shape id="_x0000_s1041" type="#_x0000_t202" style="position:absolute;margin-left:57.200000000000003pt;margin-top:795.pt;width:56.899999999999999pt;height:8.1500000000000004pt;z-index:-1887440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2025-41352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3887470</wp:posOffset>
              </wp:positionH>
              <wp:positionV relativeFrom="page">
                <wp:posOffset>377190</wp:posOffset>
              </wp:positionV>
              <wp:extent cx="113030" cy="91440"/>
              <wp:wrapNone/>
              <wp:docPr id="3" name="Shape 3"/>
              <a:graphic xmlns:a="http://schemas.openxmlformats.org/drawingml/2006/main">
                <a:graphicData uri="http://schemas.microsoft.com/office/word/2010/wordprocessingShape">
                  <wps:wsp>
                    <wps:cNvSpPr txBox="1"/>
                    <wps:spPr>
                      <a:xfrm>
                        <a:ext cx="11303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6.10000000000002pt;margin-top:29.699999999999999pt;width:8.9000000000000004pt;height:7.2000000000000002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3926840</wp:posOffset>
              </wp:positionH>
              <wp:positionV relativeFrom="page">
                <wp:posOffset>476250</wp:posOffset>
              </wp:positionV>
              <wp:extent cx="67310" cy="69850"/>
              <wp:wrapNone/>
              <wp:docPr id="11" name="Shape 11"/>
              <a:graphic xmlns:a="http://schemas.openxmlformats.org/drawingml/2006/main">
                <a:graphicData uri="http://schemas.microsoft.com/office/word/2010/wordprocessingShape">
                  <wps:wsp>
                    <wps:cNvSpPr txBox="1"/>
                    <wps:spPr>
                      <a:xfrm>
                        <a:ext cx="6731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9.19999999999999pt;margin-top:37.5pt;width:5.2999999999999998pt;height:5.5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3887470</wp:posOffset>
              </wp:positionH>
              <wp:positionV relativeFrom="page">
                <wp:posOffset>377190</wp:posOffset>
              </wp:positionV>
              <wp:extent cx="113030" cy="91440"/>
              <wp:wrapNone/>
              <wp:docPr id="13" name="Shape 13"/>
              <a:graphic xmlns:a="http://schemas.openxmlformats.org/drawingml/2006/main">
                <a:graphicData uri="http://schemas.microsoft.com/office/word/2010/wordprocessingShape">
                  <wps:wsp>
                    <wps:cNvSpPr txBox="1"/>
                    <wps:spPr>
                      <a:xfrm>
                        <a:ext cx="11303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9" type="#_x0000_t202" style="position:absolute;margin-left:306.10000000000002pt;margin-top:29.699999999999999pt;width:8.9000000000000004pt;height:7.2000000000000002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8"/>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Picture caption_"/>
    <w:basedOn w:val="DefaultParagraphFont"/>
    <w:link w:val="Style12"/>
    <w:rPr>
      <w:rFonts w:ascii="Georgia" w:eastAsia="Georgia" w:hAnsi="Georgia" w:cs="Georgia"/>
      <w:b w:val="0"/>
      <w:bCs w:val="0"/>
      <w:i w:val="0"/>
      <w:iCs w:val="0"/>
      <w:smallCaps w:val="0"/>
      <w:strike w:val="0"/>
      <w:color w:val="292929"/>
      <w:sz w:val="11"/>
      <w:szCs w:val="11"/>
      <w:u w:val="none"/>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Body text (4)_"/>
    <w:basedOn w:val="DefaultParagraphFont"/>
    <w:link w:val="Style22"/>
    <w:rPr>
      <w:rFonts w:ascii="Georgia" w:eastAsia="Georgia" w:hAnsi="Georgia" w:cs="Georgia"/>
      <w:b w:val="0"/>
      <w:bCs w:val="0"/>
      <w:i w:val="0"/>
      <w:iCs w:val="0"/>
      <w:smallCaps w:val="0"/>
      <w:strike w:val="0"/>
      <w:color w:val="EBEBEB"/>
      <w:sz w:val="12"/>
      <w:szCs w:val="12"/>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44444"/>
      <w:sz w:val="12"/>
      <w:szCs w:val="12"/>
      <w:u w:val="none"/>
    </w:rPr>
  </w:style>
  <w:style w:type="character" w:customStyle="1" w:styleId="CharStyle31">
    <w:name w:val="Body text (5)_"/>
    <w:basedOn w:val="DefaultParagraphFont"/>
    <w:link w:val="Style30"/>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9">
    <w:name w:val="Heading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Picture caption"/>
    <w:basedOn w:val="Normal"/>
    <w:link w:val="CharStyle13"/>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styleId="Style15">
    <w:name w:val="Body text"/>
    <w:basedOn w:val="Normal"/>
    <w:link w:val="CharStyle16"/>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Body text (4)"/>
    <w:basedOn w:val="Normal"/>
    <w:link w:val="CharStyle23"/>
    <w:pPr>
      <w:widowControl w:val="0"/>
      <w:shd w:val="clear" w:color="auto" w:fill="auto"/>
      <w:spacing w:after="100"/>
      <w:ind w:left="4420"/>
    </w:pPr>
    <w:rPr>
      <w:rFonts w:ascii="Georgia" w:eastAsia="Georgia" w:hAnsi="Georgia" w:cs="Georgia"/>
      <w:b w:val="0"/>
      <w:bCs w:val="0"/>
      <w:i w:val="0"/>
      <w:iCs w:val="0"/>
      <w:smallCaps w:val="0"/>
      <w:strike w:val="0"/>
      <w:color w:val="EBEBEB"/>
      <w:sz w:val="12"/>
      <w:szCs w:val="12"/>
      <w:u w:val="none"/>
    </w:rPr>
  </w:style>
  <w:style w:type="paragraph" w:customStyle="1" w:styleId="Style24">
    <w:name w:val="Body text (2)"/>
    <w:basedOn w:val="Normal"/>
    <w:link w:val="CharStyle25"/>
    <w:pPr>
      <w:widowControl w:val="0"/>
      <w:shd w:val="clear" w:color="auto" w:fill="auto"/>
      <w:ind w:left="3720"/>
    </w:pPr>
    <w:rPr>
      <w:rFonts w:ascii="Arial" w:eastAsia="Arial" w:hAnsi="Arial" w:cs="Arial"/>
      <w:b w:val="0"/>
      <w:bCs w:val="0"/>
      <w:i w:val="0"/>
      <w:iCs w:val="0"/>
      <w:smallCaps w:val="0"/>
      <w:strike w:val="0"/>
      <w:color w:val="444444"/>
      <w:sz w:val="12"/>
      <w:szCs w:val="12"/>
      <w:u w:val="none"/>
    </w:rPr>
  </w:style>
  <w:style w:type="paragraph" w:customStyle="1" w:styleId="Style30">
    <w:name w:val="Body text (5)"/>
    <w:basedOn w:val="Normal"/>
    <w:link w:val="CharStyle31"/>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3.png"/><Relationship Id="rId14" Type="http://schemas.openxmlformats.org/officeDocument/2006/relationships/image" Target="media/image3.png" TargetMode="Externa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header" Target="header4.xml"/><Relationship Id="rId18" Type="http://schemas.openxmlformats.org/officeDocument/2006/relationships/footer" Target="footer4.xml"/><Relationship Id="rId19" Type="http://schemas.openxmlformats.org/officeDocument/2006/relationships/image" Target="media/image4.jpeg"/><Relationship Id="rId20" Type="http://schemas.openxmlformats.org/officeDocument/2006/relationships/image" Target="media/image4.jpeg" TargetMode="External"/><Relationship Id="rId21" Type="http://schemas.openxmlformats.org/officeDocument/2006/relationships/image" Target="media/image5.jpeg"/><Relationship Id="rId22" Type="http://schemas.openxmlformats.org/officeDocument/2006/relationships/image" Target="media/image5.jpeg" TargetMode="External"/><Relationship Id="rId23" Type="http://schemas.openxmlformats.org/officeDocument/2006/relationships/image" Target="media/image6.jpeg"/><Relationship Id="rId24" Type="http://schemas.openxmlformats.org/officeDocument/2006/relationships/image" Target="media/image6.jpeg" TargetMode="External"/></Relationships>
</file>