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3744595</wp:posOffset>
                </wp:positionH>
                <wp:positionV relativeFrom="paragraph">
                  <wp:posOffset>12700</wp:posOffset>
                </wp:positionV>
                <wp:extent cx="496570" cy="69786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697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4"/>
                                <w:szCs w:val="94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6619A"/>
                                <w:sz w:val="94"/>
                                <w:szCs w:val="94"/>
                                <w:lang w:val="en-US" w:eastAsia="en-US"/>
                              </w:rPr>
                              <w:t>W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94.85000000000002pt;margin-top:1.pt;width:39.100000000000001pt;height:54.95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4"/>
                          <w:szCs w:val="94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46619A"/>
                          <w:sz w:val="94"/>
                          <w:szCs w:val="94"/>
                          <w:lang w:val="en-US" w:eastAsia="en-US"/>
                        </w:rPr>
                        <w:t>W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2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ул. Ленина, 40, г. Майкоп, 385000</w:t>
        <w:br/>
        <w:t>тел. (8772) 57-05-22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6"/>
          <w:lang w:val="en-US" w:eastAsia="en-US"/>
        </w:rPr>
        <w:t>to01@fas.gov.ru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970" w:val="left"/>
        </w:tabs>
        <w:bidi w:val="0"/>
        <w:spacing w:before="0" w:after="340" w:line="240" w:lineRule="auto"/>
        <w:ind w:left="0" w:right="0" w:firstLine="160"/>
        <w:jc w:val="both"/>
        <w:rPr>
          <w:sz w:val="30"/>
          <w:szCs w:val="30"/>
        </w:rPr>
      </w:pPr>
      <w:r>
        <w:rPr>
          <w:rStyle w:val="CharStyle14"/>
          <w:sz w:val="30"/>
          <w:szCs w:val="3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  <w:sz w:val="30"/>
          <w:szCs w:val="30"/>
        </w:rPr>
        <w:t>5.09.2025</w:t>
        <w:tab/>
      </w:r>
      <w:r>
        <w:fldChar w:fldCharType="end"/>
      </w:r>
      <w:r>
        <w:rPr>
          <w:rStyle w:val="CharStyle14"/>
          <w:sz w:val="30"/>
          <w:szCs w:val="30"/>
        </w:rPr>
        <w:t xml:space="preserve">№ </w:t>
      </w:r>
      <w:r>
        <w:rPr>
          <w:rStyle w:val="CharStyle14"/>
          <w:sz w:val="30"/>
          <w:szCs w:val="30"/>
          <w:u w:val="single"/>
        </w:rPr>
        <w:t>АЖ/2293/2</w:t>
      </w:r>
      <w:r>
        <w:rPr>
          <w:rStyle w:val="CharStyle14"/>
          <w:sz w:val="30"/>
          <w:szCs w:val="30"/>
        </w:rPr>
        <w:t>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8"/>
          <w:rFonts w:ascii="Times New Roman" w:eastAsia="Times New Roman" w:hAnsi="Times New Roman" w:cs="Times New Roman"/>
          <w:color w:val="46619A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2128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МОНОПОЛИЕМ ПЭШ1УЕКЮРЭ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ФЕДЕРАЛЬНЭ КЪУЛЫКЪУР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Монополием пэш!уек1орэ</w:t>
        <w:br/>
        <w:t>Федеральнэ къулыкъум</w:t>
        <w:br/>
        <w:t>Адыгэ РеспублкэмкТэ 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2"/>
          <w:b/>
          <w:bCs/>
        </w:rPr>
        <w:t>Г ъэ1орыш1ап!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Лениным иур.. 40, къ. Мыекъуапэ, 385000</w:t>
        <w:br/>
        <w:t>тел./факс: (8772) 57-05-22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6"/>
          <w:lang w:val="en-US" w:eastAsia="en-US"/>
        </w:rPr>
        <w:t>to01@fas.gov.ru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ИП Щелоков Илья Владимирович </w:t>
      </w:r>
      <w:r>
        <w:rPr>
          <w:rStyle w:val="CharStyle14"/>
          <w:lang w:val="en-US" w:eastAsia="en-US"/>
        </w:rPr>
        <w:t xml:space="preserve">443068, </w:t>
      </w:r>
      <w:r>
        <w:rPr>
          <w:rStyle w:val="CharStyle14"/>
        </w:rPr>
        <w:t>САМАРСКАЯ ОБЛАСТЬ,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 xml:space="preserve">Самара, УЛ. Конноармейская, Д.17, </w:t>
      </w:r>
      <w:r>
        <w:rPr>
          <w:rStyle w:val="CharStyle14"/>
          <w:lang w:val="en-US" w:eastAsia="en-US"/>
        </w:rPr>
        <w:t xml:space="preserve">85 </w:t>
      </w:r>
      <w:r>
        <w:fldChar w:fldCharType="begin"/>
      </w:r>
      <w:r>
        <w:rPr/>
        <w:instrText> HYPERLINK "mailto:dinamikasporta@yandex.ru" </w:instrText>
      </w:r>
      <w:r>
        <w:fldChar w:fldCharType="separate"/>
      </w:r>
      <w:r>
        <w:rPr>
          <w:rStyle w:val="CharStyle14"/>
          <w:lang w:val="en-US" w:eastAsia="en-US"/>
        </w:rPr>
        <w:t>dinamikasporta@yandex.ru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27" w:right="1160" w:bottom="1183" w:left="1111" w:header="0" w:footer="3" w:gutter="0"/>
          <w:pgNumType w:start="1"/>
          <w:cols w:num="2" w:space="365"/>
          <w:noEndnote/>
          <w:rtlGutter w:val="0"/>
          <w:docGrid w:linePitch="360"/>
        </w:sectPr>
      </w:pPr>
      <w:r>
        <w:rPr>
          <w:rStyle w:val="CharStyle14"/>
        </w:rPr>
        <w:t>АО «ЕЭТП»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4"/>
          <w:lang w:val="en-US" w:eastAsia="en-US"/>
        </w:rPr>
        <w:t>ko@roseltorg.ru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4"/>
        </w:rPr>
        <w:t>Комитет по физической культуре и спорту муниципального образования «Город Майкоп»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fldChar w:fldCharType="begin"/>
      </w:r>
      <w:r>
        <w:rPr/>
        <w:instrText> HYPERLINK "mailto:sport-maykop@yandex.ru" </w:instrText>
      </w:r>
      <w:r>
        <w:fldChar w:fldCharType="separate"/>
      </w:r>
      <w:r>
        <w:rPr>
          <w:rStyle w:val="CharStyle14"/>
          <w:lang w:val="en-US" w:eastAsia="en-US"/>
        </w:rPr>
        <w:t>sport-maykop@yandex.ru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5020" w:right="0" w:firstLine="0"/>
        <w:jc w:val="left"/>
      </w:pPr>
      <w:r>
        <w:rPr>
          <w:rStyle w:val="CharStyle14"/>
        </w:rPr>
        <w:t xml:space="preserve">Управление в сфере закупок администрации муниципального образования «Город Майкоп» </w:t>
      </w:r>
      <w:r>
        <w:fldChar w:fldCharType="begin"/>
      </w:r>
      <w:r>
        <w:rPr/>
        <w:instrText> HYPERLINK "mailto:zakupki.maykop@mail.ru" </w:instrText>
      </w:r>
      <w:r>
        <w:fldChar w:fldCharType="separate"/>
      </w:r>
      <w:r>
        <w:rPr>
          <w:rStyle w:val="CharStyle14"/>
          <w:lang w:val="en-US" w:eastAsia="en-US"/>
        </w:rPr>
        <w:t>zakupki.maykop@mail.ru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 xml:space="preserve">по делу </w:t>
      </w:r>
      <w:r>
        <w:rPr>
          <w:rStyle w:val="CharStyle14"/>
          <w:lang w:val="en-US" w:eastAsia="en-US"/>
        </w:rPr>
        <w:t xml:space="preserve">№001/06/105-393/2025 </w:t>
      </w:r>
      <w:r>
        <w:rPr>
          <w:rStyle w:val="CharStyle14"/>
        </w:rPr>
        <w:t>о нарушении законодательства</w:t>
        <w:br/>
        <w:t>о контрактной системе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сентября </w:t>
      </w:r>
      <w:r>
        <w:rPr>
          <w:rStyle w:val="CharStyle14"/>
          <w:lang w:val="en-US" w:eastAsia="en-US"/>
        </w:rPr>
        <w:t xml:space="preserve">2025 </w:t>
      </w:r>
      <w:r>
        <w:rPr>
          <w:rStyle w:val="CharStyle14"/>
        </w:rPr>
        <w:t>года</w:t>
        <w:tab/>
        <w:t>г. Майкоп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Резолютивная часть оглашена: </w:t>
      </w:r>
      <w:r>
        <w:rPr>
          <w:rStyle w:val="CharStyle14"/>
          <w:lang w:val="en-US" w:eastAsia="en-US"/>
        </w:rPr>
        <w:t>10.09.2025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Решение в полном объеме изготовлено: </w:t>
      </w:r>
      <w:r>
        <w:rPr>
          <w:rStyle w:val="CharStyle14"/>
          <w:lang w:val="en-US" w:eastAsia="en-US"/>
        </w:rPr>
        <w:t>15.09.2025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rStyle w:val="CharStyle14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Комиссия УФАС) в составе: председателя Комиссии УФАС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Жукова А.Г. заместителя руководителя Управления, членов Комиссии УФАС: Керашевой С.М., главного специалиста-эксперта отдела контроля закупок, Клюкиной Н.А., главного специалиста-эксперта отдела контроля закупок, с участием представителей: Управления в сфере закупок администрации муниципального образования «Город Майкоп»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Уполномоченный орган) Артюшиной Е.А. (доверенность от </w:t>
      </w:r>
      <w:r>
        <w:rPr>
          <w:rStyle w:val="CharStyle14"/>
          <w:lang w:val="en-US" w:eastAsia="en-US"/>
        </w:rPr>
        <w:t xml:space="preserve">10.01.2025), </w:t>
      </w:r>
      <w:r>
        <w:rPr>
          <w:rStyle w:val="CharStyle14"/>
        </w:rPr>
        <w:t xml:space="preserve">Блягоз О.Ш. (доверенность от </w:t>
      </w:r>
      <w:r>
        <w:rPr>
          <w:rStyle w:val="CharStyle14"/>
          <w:lang w:val="en-US" w:eastAsia="en-US"/>
        </w:rPr>
        <w:t xml:space="preserve">10.01.2025), </w:t>
      </w:r>
      <w:r>
        <w:rPr>
          <w:rStyle w:val="CharStyle14"/>
        </w:rPr>
        <w:t xml:space="preserve">Комитета по физической культуре и спорту муниципального образования «Город Майкоп»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Заказчик) Шаталова Н.В. (доверенность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50"/>
          <w:szCs w:val="5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7" w:right="536" w:bottom="1183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rFonts w:ascii="Arial" w:eastAsia="Arial" w:hAnsi="Arial" w:cs="Arial"/>
          <w:sz w:val="50"/>
          <w:szCs w:val="50"/>
          <w:lang w:val="en-US" w:eastAsia="en-US"/>
        </w:rPr>
        <w:t>llllllllllllllllllllllll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en-US" w:eastAsia="en-US"/>
        </w:rPr>
        <w:t xml:space="preserve">09.09.2025), </w:t>
      </w:r>
      <w:r>
        <w:rPr>
          <w:rStyle w:val="CharStyle14"/>
        </w:rPr>
        <w:t xml:space="preserve">ИП Щелокова И.В.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Заявитель) Божко М.А. (доверенность от </w:t>
      </w:r>
      <w:r>
        <w:rPr>
          <w:rStyle w:val="CharStyle14"/>
          <w:lang w:val="en-US" w:eastAsia="en-US"/>
        </w:rPr>
        <w:t xml:space="preserve">08.09.2025), </w:t>
      </w:r>
      <w:r>
        <w:rPr>
          <w:rStyle w:val="CharStyle14"/>
        </w:rPr>
        <w:t xml:space="preserve">рассмотрев жалобу Заявителя на действия Заказчика при проведении электронного аукциона </w:t>
      </w:r>
      <w:r>
        <w:rPr>
          <w:rStyle w:val="CharStyle14"/>
          <w:lang w:val="en-US" w:eastAsia="en-US"/>
        </w:rPr>
        <w:t xml:space="preserve">№0376300000125000298 </w:t>
      </w:r>
      <w:r>
        <w:rPr>
          <w:rStyle w:val="CharStyle14"/>
        </w:rPr>
        <w:t xml:space="preserve">на закупку и монтаж оборудования для создания "умной" спортивной площадки в МО "Город Майкоп"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Аукцион), проведя внеплановую проверку на основании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Управление Федеральной антимонопольной службы по Республике Адыгея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Адыгейское УФАС России) </w:t>
      </w:r>
      <w:r>
        <w:rPr>
          <w:rStyle w:val="CharStyle14"/>
          <w:lang w:val="en-US" w:eastAsia="en-US"/>
        </w:rPr>
        <w:t xml:space="preserve">03.09.2025 </w:t>
      </w:r>
      <w:r>
        <w:rPr>
          <w:rStyle w:val="CharStyle14"/>
        </w:rPr>
        <w:t>поступила жалоба Заявителя, в которой указано, что Заказчиком в извещении о проведении закупки нарушены требования Закона о контрактной системе, которые выразились в следующем.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Перечень спортивно-технологического оборудования для создания «умной» спортивной площадки установлен Приказом Министерства спорта Российской Федерации от </w:t>
      </w:r>
      <w:r>
        <w:rPr>
          <w:rStyle w:val="CharStyle14"/>
          <w:lang w:val="en-US" w:eastAsia="en-US"/>
        </w:rPr>
        <w:t xml:space="preserve">15.02.2022 № 107 </w:t>
      </w:r>
      <w:r>
        <w:rPr>
          <w:rStyle w:val="CharStyle14"/>
        </w:rPr>
        <w:t xml:space="preserve">(в ред. Приказа Минспорта РФ от </w:t>
      </w:r>
      <w:r>
        <w:rPr>
          <w:rStyle w:val="CharStyle14"/>
          <w:lang w:val="en-US" w:eastAsia="en-US"/>
        </w:rPr>
        <w:t>29.12.2023 № 1126).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соответствии с пп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Приложения к Приказу Минспорта РФ от </w:t>
      </w:r>
      <w:r>
        <w:rPr>
          <w:rStyle w:val="CharStyle14"/>
          <w:lang w:val="en-US" w:eastAsia="en-US"/>
        </w:rPr>
        <w:t xml:space="preserve">29.12.2023 № 1126 </w:t>
      </w:r>
      <w:r>
        <w:rPr>
          <w:rStyle w:val="CharStyle14"/>
        </w:rPr>
        <w:t xml:space="preserve">Комплект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>обязательно должен включать в себя: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  <w:b/>
          <w:bCs/>
          <w:lang w:val="en-US" w:eastAsia="en-US"/>
        </w:rPr>
        <w:t xml:space="preserve">- </w:t>
      </w:r>
      <w:r>
        <w:rPr>
          <w:rStyle w:val="CharStyle14"/>
        </w:rPr>
        <w:t xml:space="preserve">«покрытие для универсальной площадки для баскетбола, футбола, волейбола, размером 28х15м с разметкой и вспомогательными зонами (в комплекте с монтажными материалами), общим размером 32х19м» </w:t>
      </w:r>
      <w:r>
        <w:rPr>
          <w:rStyle w:val="CharStyle14"/>
          <w:b/>
          <w:bCs/>
          <w:lang w:val="en-US" w:eastAsia="en-US"/>
        </w:rPr>
        <w:t xml:space="preserve">- </w:t>
      </w:r>
      <w:r>
        <w:rPr>
          <w:rStyle w:val="CharStyle14"/>
          <w:b/>
          <w:bCs/>
        </w:rPr>
        <w:t xml:space="preserve">в общей сложности </w:t>
      </w:r>
      <w:r>
        <w:rPr>
          <w:rStyle w:val="CharStyle14"/>
          <w:b/>
          <w:bCs/>
          <w:lang w:val="en-US" w:eastAsia="en-US"/>
        </w:rPr>
        <w:t xml:space="preserve">608 </w:t>
      </w:r>
      <w:r>
        <w:rPr>
          <w:rStyle w:val="CharStyle14"/>
          <w:b/>
          <w:bCs/>
        </w:rPr>
        <w:t>кв.м. покрытия.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Однако,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Описания объекта закупки Заказчику к приобретению требуется рулонное спортивное резиновое покрытие в количестве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пог.м с максимально допустимым указанием ширины рулона равной </w:t>
      </w:r>
      <w:r>
        <w:rPr>
          <w:rStyle w:val="CharStyle14"/>
          <w:lang w:val="en-US" w:eastAsia="en-US"/>
        </w:rPr>
        <w:t xml:space="preserve">1499 </w:t>
      </w:r>
      <w:r>
        <w:rPr>
          <w:rStyle w:val="CharStyle14"/>
        </w:rPr>
        <w:t>мм.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Заявитель указывает, что при переводе необходимого Заказчику количества погонных метров покрытия с шириной </w:t>
      </w:r>
      <w:r>
        <w:rPr>
          <w:rStyle w:val="CharStyle14"/>
          <w:lang w:val="en-US" w:eastAsia="en-US"/>
        </w:rPr>
        <w:t xml:space="preserve">1499 </w:t>
      </w:r>
      <w:r>
        <w:rPr>
          <w:rStyle w:val="CharStyle14"/>
        </w:rPr>
        <w:t xml:space="preserve">мм., в квадратные метры, максимально возможная при таких параметрах покрываемая площадь составит </w:t>
      </w:r>
      <w:r>
        <w:rPr>
          <w:rStyle w:val="CharStyle14"/>
          <w:lang w:val="en-US" w:eastAsia="en-US"/>
        </w:rPr>
        <w:t xml:space="preserve">47,97 </w:t>
      </w:r>
      <w:r>
        <w:rPr>
          <w:rStyle w:val="CharStyle14"/>
        </w:rPr>
        <w:t>кв.м.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Заказчиком не установлены дополнительные требования к участникам закупки в соответствии позицией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постановлению Правительства Российской Федерации от </w:t>
      </w:r>
      <w:r>
        <w:rPr>
          <w:rStyle w:val="CharStyle14"/>
          <w:lang w:val="en-US" w:eastAsia="en-US"/>
        </w:rPr>
        <w:t xml:space="preserve">29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2021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N 2571, </w:t>
      </w:r>
      <w:r>
        <w:rPr>
          <w:rStyle w:val="CharStyle14"/>
        </w:rPr>
        <w:t>а именно «Работы по строительству некапитального строения, сооружения (строений, сооружений), благоустройству территории».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жалобе Заявитель указал, что проведя анализ характеристик товаров в Описании объекта закупки с товарами, имеющими запись в реестре российской промышленной продукции, было выявлено, что единственным подходящим под описание объекта закупки товаром является «Оборудование для воркаута марки "СЕР-БА"» реестровый </w:t>
      </w:r>
      <w:r>
        <w:rPr>
          <w:rStyle w:val="CharStyle14"/>
          <w:lang w:val="en-US" w:eastAsia="en-US"/>
        </w:rPr>
        <w:t>№ 10292699.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По мнению Заявителя указание Заказчиком конкретных характеристик (без диапазонных значений) свидетельствует об ограничении конкуренции.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302" w:lineRule="auto"/>
        <w:ind w:left="0" w:right="0"/>
        <w:jc w:val="both"/>
        <w:rPr>
          <w:sz w:val="24"/>
          <w:szCs w:val="24"/>
        </w:rPr>
      </w:pPr>
      <w:bookmarkStart w:id="0" w:name="bookmark0"/>
      <w:r>
        <w:rPr>
          <w:rStyle w:val="CharStyle23"/>
        </w:rPr>
        <w:t xml:space="preserve">На основании изложенного, Заявитель просит признать жалобу обоснованной, провести внеплановую проверку, выдать предписание об устранении нарушений </w:t>
      </w:r>
      <w:r>
        <w:rPr>
          <w:rStyle w:val="CharStyle23"/>
          <w:sz w:val="24"/>
          <w:szCs w:val="24"/>
          <w:lang w:val="en-US" w:eastAsia="en-US"/>
        </w:rPr>
        <w:t>2025-2499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законодательства о контрактной системе в сфере закупок.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23"/>
        </w:rPr>
        <w:t xml:space="preserve">Заказчиком представлено Возражение на жалобу исх. </w:t>
      </w:r>
      <w:r>
        <w:rPr>
          <w:rStyle w:val="CharStyle23"/>
          <w:lang w:val="en-US" w:eastAsia="en-US"/>
        </w:rPr>
        <w:t xml:space="preserve">№440 </w:t>
      </w:r>
      <w:r>
        <w:rPr>
          <w:rStyle w:val="CharStyle23"/>
        </w:rPr>
        <w:t xml:space="preserve">от </w:t>
      </w:r>
      <w:r>
        <w:rPr>
          <w:rStyle w:val="CharStyle23"/>
          <w:lang w:val="en-US" w:eastAsia="en-US"/>
        </w:rPr>
        <w:t xml:space="preserve">08.09.2025, </w:t>
      </w:r>
      <w:r>
        <w:rPr>
          <w:rStyle w:val="CharStyle23"/>
        </w:rPr>
        <w:t>в котором указано, что считает данную жалобу необоснованной, отметив следующее.</w:t>
      </w:r>
      <w:bookmarkEnd w:id="2"/>
    </w:p>
    <w:p>
      <w:pPr>
        <w:pStyle w:val="Style22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rStyle w:val="CharStyle23"/>
        </w:rPr>
        <w:t xml:space="preserve">Перечень спортивно-технологического оборудования для создания «умной» спортивной площадки установлен приказом министерства спорта Российской Федерации от </w:t>
      </w:r>
      <w:r>
        <w:rPr>
          <w:rStyle w:val="CharStyle23"/>
          <w:lang w:val="en-US" w:eastAsia="en-US"/>
        </w:rPr>
        <w:t>15.02.2022 №107.</w:t>
      </w:r>
      <w:bookmarkEnd w:id="4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rStyle w:val="CharStyle23"/>
        </w:rPr>
        <w:t xml:space="preserve">В соответствии с КТРУ </w:t>
      </w:r>
      <w:r>
        <w:rPr>
          <w:rStyle w:val="CharStyle23"/>
          <w:lang w:val="en-US" w:eastAsia="en-US"/>
        </w:rPr>
        <w:t xml:space="preserve">22.19.72.000-00000004 </w:t>
      </w:r>
      <w:r>
        <w:rPr>
          <w:rStyle w:val="CharStyle23"/>
        </w:rPr>
        <w:t xml:space="preserve">указанном в описании объекта закупки невозможно было отразить рулонное спортивное резиновое покрытие в количестве </w:t>
      </w:r>
      <w:r>
        <w:rPr>
          <w:rStyle w:val="CharStyle23"/>
          <w:lang w:val="en-US" w:eastAsia="en-US"/>
        </w:rPr>
        <w:t xml:space="preserve">608 </w:t>
      </w:r>
      <w:r>
        <w:rPr>
          <w:rStyle w:val="CharStyle23"/>
        </w:rPr>
        <w:t>кв.м.</w:t>
      </w:r>
      <w:bookmarkEnd w:id="6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rStyle w:val="CharStyle23"/>
        </w:rPr>
        <w:t xml:space="preserve">В связи с чем, Заказчиком рулонное спортивное резиновое покрытие было переведено в </w:t>
      </w:r>
      <w:r>
        <w:rPr>
          <w:rStyle w:val="CharStyle23"/>
          <w:lang w:val="en-US" w:eastAsia="en-US"/>
        </w:rPr>
        <w:t xml:space="preserve">32 </w:t>
      </w:r>
      <w:r>
        <w:rPr>
          <w:rStyle w:val="CharStyle23"/>
        </w:rPr>
        <w:t xml:space="preserve">погонных метра. С указанием длины и ширины данного покрытия общим размером 32х19м (в визуализированной форме с описанием размеров), так при переведении </w:t>
      </w:r>
      <w:r>
        <w:rPr>
          <w:rStyle w:val="CharStyle23"/>
          <w:lang w:val="en-US" w:eastAsia="en-US"/>
        </w:rPr>
        <w:t xml:space="preserve">32 </w:t>
      </w:r>
      <w:r>
        <w:rPr>
          <w:rStyle w:val="CharStyle23"/>
        </w:rPr>
        <w:t xml:space="preserve">погонных метров в квадратные метры составляет </w:t>
      </w:r>
      <w:r>
        <w:rPr>
          <w:rStyle w:val="CharStyle23"/>
          <w:lang w:val="en-US" w:eastAsia="en-US"/>
        </w:rPr>
        <w:t xml:space="preserve">608 </w:t>
      </w:r>
      <w:r>
        <w:rPr>
          <w:rStyle w:val="CharStyle23"/>
        </w:rPr>
        <w:t xml:space="preserve">кв.м., что соответствует Приложению к Приказу Минспорта РФ от </w:t>
      </w:r>
      <w:r>
        <w:rPr>
          <w:rStyle w:val="CharStyle23"/>
          <w:lang w:val="en-US" w:eastAsia="en-US"/>
        </w:rPr>
        <w:t xml:space="preserve">29.12.2023 № 1126 </w:t>
      </w:r>
      <w:r>
        <w:rPr>
          <w:rStyle w:val="CharStyle23"/>
        </w:rPr>
        <w:t xml:space="preserve">Комплекту </w:t>
      </w:r>
      <w:r>
        <w:rPr>
          <w:rStyle w:val="CharStyle23"/>
          <w:lang w:val="en-US" w:eastAsia="en-US"/>
        </w:rPr>
        <w:t>№1.</w:t>
      </w:r>
      <w:bookmarkEnd w:id="8"/>
    </w:p>
    <w:p>
      <w:pPr>
        <w:pStyle w:val="Style22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rStyle w:val="CharStyle23"/>
        </w:rPr>
        <w:t>В ходе рассмотрения довода жалобы представитель Заказчика указал, что процедура закупки и монтажа оборудования для создания «умной» площадки была разделена на два этапа:</w:t>
      </w:r>
      <w:bookmarkEnd w:id="10"/>
    </w:p>
    <w:p>
      <w:pPr>
        <w:pStyle w:val="Style22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/>
        <w:jc w:val="both"/>
      </w:pPr>
      <w:bookmarkStart w:id="12" w:name="bookmark12"/>
      <w:r>
        <w:rPr>
          <w:rStyle w:val="CharStyle23"/>
        </w:rPr>
        <w:t xml:space="preserve">первый этап: выполнение работ по устройству основания «умной» спортивной площадки (извещение </w:t>
      </w:r>
      <w:r>
        <w:rPr>
          <w:rStyle w:val="CharStyle23"/>
          <w:lang w:val="en-US" w:eastAsia="en-US"/>
        </w:rPr>
        <w:t xml:space="preserve">№0376300000125000287), </w:t>
      </w:r>
      <w:r>
        <w:rPr>
          <w:rStyle w:val="CharStyle23"/>
        </w:rPr>
        <w:t xml:space="preserve">были установлены дополнительные требования к участникам закупки в соответствии с частью </w:t>
      </w:r>
      <w:r>
        <w:rPr>
          <w:rStyle w:val="CharStyle23"/>
          <w:lang w:val="en-US" w:eastAsia="en-US"/>
        </w:rPr>
        <w:t xml:space="preserve">2 </w:t>
      </w:r>
      <w:r>
        <w:rPr>
          <w:rStyle w:val="CharStyle23"/>
        </w:rPr>
        <w:t xml:space="preserve">статьи </w:t>
      </w:r>
      <w:r>
        <w:rPr>
          <w:rStyle w:val="CharStyle23"/>
          <w:lang w:val="en-US" w:eastAsia="en-US"/>
        </w:rPr>
        <w:t xml:space="preserve">31 </w:t>
      </w:r>
      <w:r>
        <w:rPr>
          <w:rStyle w:val="CharStyle23"/>
        </w:rPr>
        <w:t>Закона о контрактной системе;</w:t>
      </w:r>
      <w:bookmarkEnd w:id="12"/>
    </w:p>
    <w:p>
      <w:pPr>
        <w:pStyle w:val="Style22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/>
        <w:jc w:val="both"/>
      </w:pPr>
      <w:bookmarkStart w:id="14" w:name="bookmark14"/>
      <w:r>
        <w:rPr>
          <w:rStyle w:val="CharStyle23"/>
        </w:rPr>
        <w:t xml:space="preserve">второй этап: закупка и монтаж оборудования для создания «умной» спортивной площадки (извещение </w:t>
      </w:r>
      <w:r>
        <w:rPr>
          <w:rStyle w:val="CharStyle23"/>
          <w:lang w:val="en-US" w:eastAsia="en-US"/>
        </w:rPr>
        <w:t xml:space="preserve">№0376300000125000298). </w:t>
      </w:r>
      <w:r>
        <w:rPr>
          <w:rStyle w:val="CharStyle23"/>
        </w:rPr>
        <w:t>Состав работ не включает в себя благоустройство территории.</w:t>
      </w:r>
      <w:bookmarkEnd w:id="14"/>
    </w:p>
    <w:p>
      <w:pPr>
        <w:pStyle w:val="Style22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/>
        <w:jc w:val="both"/>
      </w:pPr>
      <w:bookmarkStart w:id="16" w:name="bookmark16"/>
      <w:r>
        <w:rPr>
          <w:rStyle w:val="CharStyle23"/>
        </w:rPr>
        <w:t xml:space="preserve">Заказчиком в Описании объекта закупки установлены конкретные значения характеристик товара. Дополнительные характеристики товаров включены в соответствии с пунктом </w:t>
      </w:r>
      <w:r>
        <w:rPr>
          <w:rStyle w:val="CharStyle23"/>
          <w:lang w:val="en-US" w:eastAsia="en-US"/>
        </w:rPr>
        <w:t xml:space="preserve">5 </w:t>
      </w:r>
      <w:r>
        <w:rPr>
          <w:rStyle w:val="CharStyle23"/>
        </w:rPr>
        <w:t xml:space="preserve">Правил использования КТРУ. Информации в КТРУ </w:t>
      </w:r>
      <w:r>
        <w:rPr>
          <w:rStyle w:val="CharStyle23"/>
          <w:lang w:val="en-US" w:eastAsia="en-US"/>
        </w:rPr>
        <w:t xml:space="preserve">42.99.12.110-00000001 </w:t>
      </w:r>
      <w:r>
        <w:rPr>
          <w:rStyle w:val="CharStyle23"/>
        </w:rPr>
        <w:t>недостаточно, чтобы точно определить качественные и технические показатели оборудования.</w:t>
      </w:r>
      <w:bookmarkEnd w:id="16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8" w:name="bookmark18"/>
      <w:r>
        <w:rPr>
          <w:rStyle w:val="CharStyle23"/>
        </w:rPr>
        <w:t xml:space="preserve">В Реестре российской промышленной продукции (ПП РФ </w:t>
      </w:r>
      <w:r>
        <w:rPr>
          <w:rStyle w:val="CharStyle23"/>
          <w:lang w:val="en-US" w:eastAsia="en-US"/>
        </w:rPr>
        <w:t xml:space="preserve">№719 </w:t>
      </w:r>
      <w:r>
        <w:rPr>
          <w:rStyle w:val="CharStyle23"/>
        </w:rPr>
        <w:t xml:space="preserve">от </w:t>
      </w:r>
      <w:r>
        <w:rPr>
          <w:rStyle w:val="CharStyle23"/>
          <w:lang w:val="en-US" w:eastAsia="en-US"/>
        </w:rPr>
        <w:t xml:space="preserve">17.07.2015 </w:t>
      </w:r>
      <w:r>
        <w:rPr>
          <w:rStyle w:val="CharStyle23"/>
        </w:rPr>
        <w:t>содержится информация о трех производителях соответствующих Описанию объекта закупки по товарам указанным в извещении:</w:t>
      </w:r>
      <w:bookmarkEnd w:id="18"/>
    </w:p>
    <w:p>
      <w:pPr>
        <w:pStyle w:val="Style22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/>
        <w:jc w:val="both"/>
      </w:pPr>
      <w:bookmarkStart w:id="20" w:name="bookmark20"/>
      <w:r>
        <w:rPr>
          <w:rStyle w:val="CharStyle23"/>
        </w:rPr>
        <w:t>ООО «Олимпсити»;</w:t>
      </w:r>
      <w:bookmarkEnd w:id="20"/>
    </w:p>
    <w:p>
      <w:pPr>
        <w:pStyle w:val="Style22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/>
        <w:jc w:val="both"/>
      </w:pPr>
      <w:bookmarkStart w:id="22" w:name="bookmark22"/>
      <w:r>
        <w:rPr>
          <w:rStyle w:val="CharStyle23"/>
        </w:rPr>
        <w:t>ООО «СЕР-БА»;</w:t>
      </w:r>
      <w:bookmarkEnd w:id="22"/>
    </w:p>
    <w:p>
      <w:pPr>
        <w:pStyle w:val="Style22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/>
        <w:jc w:val="both"/>
      </w:pPr>
      <w:bookmarkStart w:id="24" w:name="bookmark24"/>
      <w:r>
        <w:rPr>
          <w:rStyle w:val="CharStyle23"/>
        </w:rPr>
        <w:t>ООО «Айрон-Кинг».</w:t>
      </w:r>
      <w:bookmarkEnd w:id="24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6" w:name="bookmark26"/>
      <w:r>
        <w:rPr>
          <w:rStyle w:val="CharStyle23"/>
        </w:rPr>
        <w:t>К возражению Заказчика приложены выписки с Реестра российской промышленной продукции.</w:t>
      </w:r>
      <w:bookmarkEnd w:id="26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8" w:name="bookmark28"/>
      <w:r>
        <w:rPr>
          <w:rStyle w:val="CharStyle23"/>
        </w:rPr>
        <w:t>На основании изложенного, Заказчик просит признать жалобу Заявителя необоснованной.</w:t>
      </w:r>
      <w:bookmarkEnd w:id="2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640"/>
        <w:jc w:val="both"/>
        <w:rPr>
          <w:sz w:val="24"/>
          <w:szCs w:val="24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35" w:bottom="696" w:left="1103" w:header="0" w:footer="268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Уполномоченным органом на официальном сайте единой информационной </w:t>
      </w:r>
      <w:r>
        <w:rPr>
          <w:rStyle w:val="CharStyle14"/>
          <w:sz w:val="24"/>
          <w:szCs w:val="24"/>
          <w:lang w:val="en-US" w:eastAsia="en-US"/>
        </w:rPr>
        <w:t>2025-2499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системы в сфере закупок </w:t>
      </w:r>
      <w:r>
        <w:rPr>
          <w:rStyle w:val="CharStyle14"/>
          <w:lang w:val="en-US" w:eastAsia="en-US"/>
        </w:rPr>
        <w:t>zakupki.gov.ru</w:t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Официальный сайт, ЕИС) </w:t>
      </w:r>
      <w:r>
        <w:rPr>
          <w:rStyle w:val="CharStyle14"/>
          <w:lang w:val="en-US" w:eastAsia="en-US"/>
        </w:rPr>
        <w:t xml:space="preserve">27.08.2025 </w:t>
      </w:r>
      <w:r>
        <w:rPr>
          <w:rStyle w:val="CharStyle14"/>
        </w:rPr>
        <w:t>размещено извещение о проведении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>– 12 338 621,25.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ИКЗ </w:t>
      </w:r>
      <w:r>
        <w:rPr>
          <w:rStyle w:val="CharStyle14"/>
          <w:lang w:val="en-US" w:eastAsia="en-US"/>
        </w:rPr>
        <w:t>– 253010504056101050100100020014299244.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Сведения о связи с позицией плана-графика </w:t>
      </w:r>
      <w:r>
        <w:rPr>
          <w:rStyle w:val="CharStyle14"/>
          <w:lang w:val="en-US" w:eastAsia="en-US"/>
        </w:rPr>
        <w:t>-</w:t>
      </w:r>
      <w:r>
        <w:fldChar w:fldCharType="begin"/>
      </w:r>
      <w:r>
        <w:rPr/>
        <w:instrText> HYPERLINK "https://zakupki.gov.ru/epz/orderplan/pg2020/position-info.html?revision-id=19426354&amp;position-number=202503763000013001000002" </w:instrText>
      </w:r>
      <w:r>
        <w:fldChar w:fldCharType="separate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  <w:color w:val="000080"/>
          <w:u w:val="single"/>
          <w:lang w:val="en-US" w:eastAsia="en-US"/>
        </w:rPr>
        <w:t>202503763000013001000002</w:t>
      </w:r>
      <w:r>
        <w:fldChar w:fldCharType="end"/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Объект закупки: Закупка и монтаж оборудования для создания "умной" спортивной площадки в МО "Город Майкоп".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</w:t>
      </w:r>
      <w:r>
        <w:rPr>
          <w:rStyle w:val="CharStyle14"/>
          <w:color w:val="0E0E0E"/>
        </w:rPr>
        <w:t xml:space="preserve">, в т.ч. в структурированном виде </w:t>
      </w:r>
      <w:r>
        <w:rPr>
          <w:rStyle w:val="CharStyle14"/>
        </w:rPr>
        <w:t>описание объекта закупки в соответствии со</w:t>
      </w:r>
      <w:r>
        <w:fldChar w:fldCharType="begin"/>
      </w:r>
      <w:r>
        <w:rPr/>
        <w:instrText> HYPERLINK "https://www.consultant.ru/document/cons_doc_LAW_494990/d6aec91603ff628ea274b8552ce2849e06e0aa4c/%23dst100386" </w:instrText>
      </w:r>
      <w:r>
        <w:fldChar w:fldCharType="separate"/>
      </w:r>
      <w:r>
        <w:rPr>
          <w:rStyle w:val="CharStyle14"/>
        </w:rPr>
        <w:t xml:space="preserve"> </w:t>
      </w:r>
      <w:r>
        <w:rPr>
          <w:rStyle w:val="CharStyle14"/>
          <w:color w:val="1A0DAB"/>
          <w:u w:val="single"/>
        </w:rPr>
        <w:t>статьей</w:t>
      </w:r>
      <w:r>
        <w:fldChar w:fldCharType="end"/>
      </w:r>
      <w:r>
        <w:rPr>
          <w:rStyle w:val="CharStyle14"/>
          <w:color w:val="1A0DAB"/>
          <w:u w:val="single"/>
        </w:rPr>
        <w:t xml:space="preserve"> </w:t>
      </w:r>
      <w:r>
        <w:fldChar w:fldCharType="begin"/>
      </w:r>
      <w:r>
        <w:rPr/>
        <w:instrText> HYPERLINK "https://www.consultant.ru/document/cons_doc_LAW_494990/d6aec91603ff628ea274b8552ce2849e06e0aa4c/%23dst100386" </w:instrText>
      </w:r>
      <w:r>
        <w:fldChar w:fldCharType="separate"/>
      </w:r>
      <w:r>
        <w:rPr>
          <w:rStyle w:val="CharStyle14"/>
          <w:color w:val="1A0DAB"/>
          <w:u w:val="single"/>
          <w:lang w:val="en-US" w:eastAsia="en-US"/>
        </w:rPr>
        <w:t>33</w:t>
      </w:r>
      <w:r>
        <w:fldChar w:fldCharType="end"/>
      </w:r>
      <w:r>
        <w:rPr>
          <w:rStyle w:val="CharStyle14"/>
          <w:color w:val="1A0DAB"/>
          <w:lang w:val="en-US" w:eastAsia="en-US"/>
        </w:rPr>
        <w:t xml:space="preserve">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</w:t>
      </w:r>
      <w:r>
        <w:rPr>
          <w:rStyle w:val="CharStyle14"/>
          <w:b/>
          <w:bCs/>
        </w:rPr>
        <w:t>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Заказчиком в описании объекта закупки установлено следующее: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Покрытие спортивное резиновое КТРУ: </w:t>
      </w:r>
      <w:r>
        <w:rPr>
          <w:rStyle w:val="CharStyle14"/>
          <w:lang w:val="en-US" w:eastAsia="en-US"/>
        </w:rPr>
        <w:t xml:space="preserve">22.19.72.000-00000004, </w:t>
      </w:r>
      <w:r>
        <w:rPr>
          <w:rStyle w:val="CharStyle14"/>
        </w:rPr>
        <w:t xml:space="preserve">вид покрытия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рулон,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пг.м., Ширина рулона, мм, </w:t>
      </w:r>
      <w:r>
        <w:rPr>
          <w:rStyle w:val="CharStyle14"/>
          <w:color w:val="334059"/>
          <w:lang w:val="en-US" w:eastAsia="en-US"/>
        </w:rPr>
        <w:t xml:space="preserve">≥ 1000.0 </w:t>
      </w:r>
      <w:r>
        <w:rPr>
          <w:rStyle w:val="CharStyle14"/>
          <w:color w:val="334059"/>
        </w:rPr>
        <w:t xml:space="preserve">и </w:t>
      </w:r>
      <w:r>
        <w:rPr>
          <w:rStyle w:val="CharStyle14"/>
          <w:color w:val="334059"/>
          <w:lang w:val="en-US" w:eastAsia="en-US"/>
        </w:rPr>
        <w:t>&lt; 1500.0.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Извещении установлено: «Система ЗД ограждения спортплощадки </w:t>
      </w:r>
      <w:r>
        <w:rPr>
          <w:rStyle w:val="CharStyle14"/>
          <w:lang w:val="en-US" w:eastAsia="en-US"/>
        </w:rPr>
        <w:t xml:space="preserve">32*19 </w:t>
      </w:r>
      <w:r>
        <w:rPr>
          <w:rStyle w:val="CharStyle14"/>
        </w:rPr>
        <w:t xml:space="preserve">(высота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>м, цв. зеленый) с калиткой, размер 32х19».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Также Описание объекта закупки содержит визуализированную модель спортивной площадки размером 32х19.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Комиссия УФАС изучив довод жалобы Заявителя пришла к выводу, о том, что Описание объекта закупки составлено исходя из потребностей Заказчика и соответствует требованиям законодательства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Следовательно, довод жалобы Заявителя не находит подтверждения, в связи с чем жалоба в данной части </w:t>
      </w:r>
      <w:r>
        <w:rPr>
          <w:rStyle w:val="CharStyle14"/>
          <w:b/>
          <w:bCs/>
        </w:rPr>
        <w:t>не обоснована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ЕИС извещение об осуществлении закупки, содержащее информацию о требованиях, предъявляемых к участникам закупки 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системе, требования, предъявляемые к участникам закупки в соответствии с частями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(при наличии таких требований) 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 (при наличии такого требования).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</w:t>
      </w:r>
      <w:r>
        <w:rPr>
          <w:rStyle w:val="CharStyle14"/>
          <w:lang w:val="en-US" w:eastAsia="en-US"/>
        </w:rPr>
        <w:t xml:space="preserve">1) </w:t>
      </w:r>
      <w:r>
        <w:rPr>
          <w:rStyle w:val="CharStyle14"/>
        </w:rPr>
        <w:t xml:space="preserve">финансовых ресурсов для исполнения контракта; </w:t>
      </w:r>
      <w:r>
        <w:rPr>
          <w:rStyle w:val="CharStyle14"/>
          <w:lang w:val="en-US" w:eastAsia="en-US"/>
        </w:rPr>
        <w:t xml:space="preserve">2) </w:t>
      </w:r>
      <w:r>
        <w:rPr>
          <w:rStyle w:val="CharStyle14"/>
        </w:rPr>
        <w:t xml:space="preserve">на праве собственности или ином законном основании оборудования и других материальных ресурсов для исполнения контракта; </w:t>
      </w:r>
      <w:r>
        <w:rPr>
          <w:rStyle w:val="CharStyle14"/>
          <w:lang w:val="en-US" w:eastAsia="en-US"/>
        </w:rPr>
        <w:t xml:space="preserve">3) </w:t>
      </w:r>
      <w:r>
        <w:rPr>
          <w:rStyle w:val="CharStyle14"/>
        </w:rPr>
        <w:t xml:space="preserve">опыта работы, связанного с предметом контракта, и деловой репутации; </w:t>
      </w:r>
      <w:r>
        <w:rPr>
          <w:rStyle w:val="CharStyle14"/>
          <w:lang w:val="en-US" w:eastAsia="en-US"/>
        </w:rPr>
        <w:t xml:space="preserve">4) </w:t>
      </w:r>
      <w:r>
        <w:rPr>
          <w:rStyle w:val="CharStyle14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При этом, частями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 установлено что: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перечень информации и документов, которые подтверждают соответствие участников закупок дополнительным требованиям, указанным в частях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системе, установлен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29.12.2021 N 2571 </w:t>
      </w:r>
      <w:r>
        <w:rPr>
          <w:rStyle w:val="CharStyle14"/>
        </w:rPr>
        <w:t xml:space="preserve">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ПП РФ от </w:t>
      </w:r>
      <w:r>
        <w:rPr>
          <w:rStyle w:val="CharStyle14"/>
          <w:lang w:val="en-US" w:eastAsia="en-US"/>
        </w:rPr>
        <w:t xml:space="preserve">29.12.2021 N 2571, </w:t>
      </w:r>
      <w:r>
        <w:rPr>
          <w:rStyle w:val="CharStyle14"/>
        </w:rPr>
        <w:t xml:space="preserve">Дополнительные требований </w:t>
      </w:r>
      <w:r>
        <w:rPr>
          <w:rStyle w:val="CharStyle14"/>
          <w:lang w:val="en-US" w:eastAsia="en-US"/>
        </w:rPr>
        <w:t>N 2571).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случае установления Правительством Российской Федерации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Позицией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ПП РФ от </w:t>
      </w:r>
      <w:r>
        <w:rPr>
          <w:rStyle w:val="CharStyle14"/>
          <w:lang w:val="en-US" w:eastAsia="en-US"/>
        </w:rPr>
        <w:t xml:space="preserve">29.12.2021 N 2571 </w:t>
      </w:r>
      <w:r>
        <w:rPr>
          <w:rStyle w:val="CharStyle14"/>
        </w:rPr>
        <w:t xml:space="preserve">предусмотрено, что в случае осуществления закупки на работы по строительству некапитального строения, сооружения (строений, сооружений), благоустройству территории при начальной (максимальной) цене контракта для обеспечения нужд субъектов Российской Федерации, муниципальных нужд свыше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млн. рублей необходимо устанавливать дополнительные требования.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Начальная (максимальная) цена контракта согласно Извещению </w:t>
      </w:r>
      <w:r>
        <w:rPr>
          <w:rStyle w:val="CharStyle14"/>
          <w:lang w:val="en-US" w:eastAsia="en-US"/>
        </w:rPr>
        <w:t xml:space="preserve">- 12 338 621,25, </w:t>
      </w:r>
      <w:r>
        <w:rPr>
          <w:rStyle w:val="CharStyle14"/>
        </w:rPr>
        <w:t>а объектом закупки являются Закупка и монтаж оборудования для создания "умной" спортивной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Согласно Описанию объекта закупки предусмотрены в том числе: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0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Монтажные работы по установке спортивного оборудования;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09" w:val="left"/>
        </w:tabs>
        <w:bidi w:val="0"/>
        <w:spacing w:before="0" w:after="0" w:line="240" w:lineRule="auto"/>
        <w:ind w:left="0" w:right="0" w:firstLine="64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06" w:right="532" w:bottom="1275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Монтажные работы по устройству резиновой плитки;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0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Монтаж системы заграждения.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36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Градостроительного кодекса Российской Федерации, благоустройство территории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3.2 </w:t>
      </w:r>
      <w:r>
        <w:rPr>
          <w:rStyle w:val="CharStyle14"/>
        </w:rPr>
        <w:t xml:space="preserve">"Свода правил </w:t>
      </w:r>
      <w:r>
        <w:rPr>
          <w:rStyle w:val="CharStyle14"/>
          <w:lang w:val="en-US" w:eastAsia="en-US"/>
        </w:rPr>
        <w:t xml:space="preserve">82.13330.2016 </w:t>
      </w:r>
      <w:r>
        <w:rPr>
          <w:rStyle w:val="CharStyle14"/>
        </w:rPr>
        <w:t xml:space="preserve">Благоустройство территорий. Актуализированная редакция СНиП </w:t>
      </w:r>
      <w:r>
        <w:rPr>
          <w:rStyle w:val="CharStyle14"/>
          <w:lang w:val="en-US" w:eastAsia="en-US"/>
        </w:rPr>
        <w:t xml:space="preserve">III-10-75", </w:t>
      </w:r>
      <w:r>
        <w:rPr>
          <w:rStyle w:val="CharStyle14"/>
        </w:rPr>
        <w:t xml:space="preserve">утвержденного Приказом Минстроя России от </w:t>
      </w:r>
      <w:r>
        <w:rPr>
          <w:rStyle w:val="CharStyle14"/>
          <w:lang w:val="en-US" w:eastAsia="en-US"/>
        </w:rPr>
        <w:t xml:space="preserve">16.12.2016 N </w:t>
      </w:r>
      <w:r>
        <w:rPr>
          <w:rStyle w:val="CharStyle14"/>
        </w:rPr>
        <w:t xml:space="preserve">972/пр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Свод правил), благоустройство территории: комплекс мероприятий по инженерной подготовке к озеленению, устройству покрытий, освещению, размещению малых архитектурных форм и объектов монументального искусства, направленных на улучшение функционального, санитарного, экологического и эстетического состояния участка. Указанный свод правил устанавливает основные требования к проектным решениям, параметрам и необходимым сочетаниям элементов благоустройства при их планировке в различных градостроительных условиях (пункт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>свода правил).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Исходя из вышеизложенного, работы предусмотренные Описанием объекта закупки являются работами по благоустройству территории.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На основании позиции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III </w:t>
      </w:r>
      <w:r>
        <w:rPr>
          <w:rStyle w:val="CharStyle14"/>
        </w:rPr>
        <w:t xml:space="preserve">приложения к ПП РФ от </w:t>
      </w:r>
      <w:r>
        <w:rPr>
          <w:rStyle w:val="CharStyle14"/>
          <w:lang w:val="en-US" w:eastAsia="en-US"/>
        </w:rPr>
        <w:t xml:space="preserve">29.12.2021 N 2571 </w:t>
      </w:r>
      <w:r>
        <w:rPr>
          <w:rStyle w:val="CharStyle14"/>
        </w:rPr>
        <w:t>для выполнения работ по благоустройству территории необходимо наличие у участника закупки следующего опыта выполнения работ: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Цена выполненных работ по договорам, предусмотренных пунктами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или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настоящей графы настоящей позиции, цена выполненных работ, предусмотренных 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настоящей графы настоящей позиции, должна составлять не менее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Вместе с тем, </w:t>
      </w:r>
      <w:r>
        <w:rPr>
          <w:rStyle w:val="CharStyle14"/>
          <w:b/>
          <w:bCs/>
        </w:rPr>
        <w:t xml:space="preserve">в нарушение пункта </w:t>
      </w:r>
      <w:r>
        <w:rPr>
          <w:rStyle w:val="CharStyle14"/>
          <w:b/>
          <w:bCs/>
          <w:lang w:val="en-US" w:eastAsia="en-US"/>
        </w:rPr>
        <w:t xml:space="preserve">12 </w:t>
      </w:r>
      <w:r>
        <w:rPr>
          <w:rStyle w:val="CharStyle14"/>
          <w:b/>
          <w:bCs/>
        </w:rPr>
        <w:t xml:space="preserve">части </w:t>
      </w:r>
      <w:r>
        <w:rPr>
          <w:rStyle w:val="CharStyle14"/>
          <w:b/>
          <w:bCs/>
          <w:lang w:val="en-US" w:eastAsia="en-US"/>
        </w:rPr>
        <w:t xml:space="preserve">1 </w:t>
      </w:r>
      <w:r>
        <w:rPr>
          <w:rStyle w:val="CharStyle14"/>
          <w:b/>
          <w:bCs/>
        </w:rPr>
        <w:t xml:space="preserve">статьи </w:t>
      </w:r>
      <w:r>
        <w:rPr>
          <w:rStyle w:val="CharStyle14"/>
          <w:b/>
          <w:bCs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Заказчиком дополнительные требования на основании позиции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ПП РФ от </w:t>
      </w:r>
      <w:r>
        <w:rPr>
          <w:rStyle w:val="CharStyle14"/>
          <w:lang w:val="en-US" w:eastAsia="en-US"/>
        </w:rPr>
        <w:t xml:space="preserve">29.12.2021 N 2571 </w:t>
      </w:r>
      <w:r>
        <w:rPr>
          <w:rStyle w:val="CharStyle14"/>
        </w:rPr>
        <w:t xml:space="preserve">к участникам закупки </w:t>
      </w:r>
      <w:r>
        <w:rPr>
          <w:rStyle w:val="CharStyle14"/>
          <w:b/>
          <w:bCs/>
        </w:rPr>
        <w:t>не установлены.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640"/>
        <w:jc w:val="both"/>
        <w:rPr>
          <w:sz w:val="24"/>
          <w:szCs w:val="24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Выявленное нарушение содержит признаки состава административного </w:t>
      </w:r>
      <w:r>
        <w:rPr>
          <w:rStyle w:val="CharStyle14"/>
          <w:sz w:val="24"/>
          <w:szCs w:val="24"/>
          <w:lang w:val="en-US" w:eastAsia="en-US"/>
        </w:rPr>
        <w:t>2025-2499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правонарушения, предусмотренного </w:t>
      </w:r>
      <w:r>
        <w:rPr>
          <w:rStyle w:val="CharStyle14"/>
          <w:b/>
          <w:bCs/>
        </w:rPr>
        <w:t xml:space="preserve">частью </w:t>
      </w:r>
      <w:r>
        <w:rPr>
          <w:rStyle w:val="CharStyle14"/>
          <w:b/>
          <w:bCs/>
          <w:lang w:val="en-US" w:eastAsia="en-US"/>
        </w:rPr>
        <w:t xml:space="preserve">5 </w:t>
      </w:r>
      <w:r>
        <w:rPr>
          <w:rStyle w:val="CharStyle14"/>
          <w:b/>
          <w:bCs/>
        </w:rPr>
        <w:t xml:space="preserve">статьи </w:t>
      </w:r>
      <w:r>
        <w:rPr>
          <w:rStyle w:val="CharStyle14"/>
          <w:b/>
          <w:bCs/>
          <w:lang w:val="en-US" w:eastAsia="en-US"/>
        </w:rPr>
        <w:t xml:space="preserve">7.30.1 </w:t>
      </w:r>
      <w:r>
        <w:rPr>
          <w:rStyle w:val="CharStyle14"/>
        </w:rPr>
        <w:t>Кодекса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На основании изложенного довод жалобы Заявителя </w:t>
      </w:r>
      <w:r>
        <w:rPr>
          <w:rStyle w:val="CharStyle14"/>
          <w:b/>
          <w:bCs/>
        </w:rPr>
        <w:t>обоснован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Согласно Описанию объекта закупки к поставке требуется: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 xml:space="preserve">Товары, указанные в пунктах </w:t>
      </w:r>
      <w:r>
        <w:rPr>
          <w:rStyle w:val="CharStyle14"/>
          <w:lang w:val="en-US" w:eastAsia="en-US"/>
        </w:rPr>
        <w:t xml:space="preserve">4-12 </w:t>
      </w:r>
      <w:r>
        <w:rPr>
          <w:rStyle w:val="CharStyle14"/>
        </w:rPr>
        <w:t>должны представлять собой единый Комплект для воркаута, состоящий из: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>тройного каскада турников для отжиманий и подтягиваний;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 xml:space="preserve">комплекса из рукохода-змеевика, шведской стенки,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турников классического хвата;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>двойных разноуровневых брусьев для отжиманий;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60" w:line="269" w:lineRule="auto"/>
        <w:ind w:left="0" w:right="0" w:firstLine="0"/>
        <w:jc w:val="both"/>
      </w:pPr>
      <w:r>
        <w:rPr>
          <w:rStyle w:val="CharStyle14"/>
        </w:rPr>
        <w:t>лавки с упорами;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скамей;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>двойного треугольника;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>брусьев гнутых двойных;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 xml:space="preserve">многофункционального комплекса из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турников,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скамей для упражнений на пресс, колец, каната и шведской стенки;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96" w:val="left"/>
        </w:tabs>
        <w:bidi w:val="0"/>
        <w:spacing w:before="0" w:after="60" w:line="269" w:lineRule="auto"/>
        <w:ind w:left="0" w:right="0" w:firstLine="0"/>
        <w:jc w:val="both"/>
      </w:pPr>
      <w:r>
        <w:rPr>
          <w:rStyle w:val="CharStyle14"/>
        </w:rPr>
        <w:t>классического трехуровневого рукохода с турниками;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Примерное изображение комплекта товаров, указанных в пунктах </w:t>
      </w:r>
      <w:r>
        <w:rPr>
          <w:rStyle w:val="CharStyle14"/>
          <w:lang w:val="en-US" w:eastAsia="en-US"/>
        </w:rPr>
        <w:t xml:space="preserve">4-12 </w:t>
      </w:r>
      <w:r>
        <w:rPr>
          <w:rStyle w:val="CharStyle14"/>
        </w:rPr>
        <w:t>приложено.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Согласно представленным данным из Реестра российской промышленной продукции имеется информация о четырех производителях соответствующих Описанию объекта закупки по товарам указанным в Извещении:</w:t>
      </w:r>
    </w:p>
    <w:p>
      <w:pPr>
        <w:pStyle w:val="Style22"/>
        <w:keepNext/>
        <w:keepLines/>
        <w:widowControl w:val="0"/>
        <w:numPr>
          <w:ilvl w:val="0"/>
          <w:numId w:val="1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/>
        <w:jc w:val="both"/>
      </w:pPr>
      <w:bookmarkStart w:id="30" w:name="bookmark30"/>
      <w:r>
        <w:rPr>
          <w:rStyle w:val="CharStyle23"/>
        </w:rPr>
        <w:t xml:space="preserve">ООО «Олимпсити» с реестровым номером </w:t>
      </w:r>
      <w:r>
        <w:rPr>
          <w:rStyle w:val="CharStyle23"/>
          <w:lang w:val="en-US" w:eastAsia="en-US"/>
        </w:rPr>
        <w:t>10554116;</w:t>
      </w:r>
      <w:bookmarkEnd w:id="30"/>
    </w:p>
    <w:p>
      <w:pPr>
        <w:pStyle w:val="Style22"/>
        <w:keepNext/>
        <w:keepLines/>
        <w:widowControl w:val="0"/>
        <w:numPr>
          <w:ilvl w:val="0"/>
          <w:numId w:val="1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/>
        <w:jc w:val="both"/>
      </w:pPr>
      <w:bookmarkStart w:id="32" w:name="bookmark32"/>
      <w:r>
        <w:rPr>
          <w:rStyle w:val="CharStyle23"/>
        </w:rPr>
        <w:t xml:space="preserve">ООО «СЕР-БА» с реестровым номером </w:t>
      </w:r>
      <w:r>
        <w:rPr>
          <w:rStyle w:val="CharStyle23"/>
          <w:lang w:val="en-US" w:eastAsia="en-US"/>
        </w:rPr>
        <w:t>10292699;</w:t>
      </w:r>
      <w:bookmarkEnd w:id="32"/>
    </w:p>
    <w:p>
      <w:pPr>
        <w:pStyle w:val="Style22"/>
        <w:keepNext/>
        <w:keepLines/>
        <w:widowControl w:val="0"/>
        <w:numPr>
          <w:ilvl w:val="0"/>
          <w:numId w:val="1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/>
        <w:jc w:val="both"/>
      </w:pPr>
      <w:bookmarkStart w:id="34" w:name="bookmark34"/>
      <w:r>
        <w:rPr>
          <w:rStyle w:val="CharStyle23"/>
        </w:rPr>
        <w:t xml:space="preserve">ООО «Айрон-Кинг» с реестровым номером </w:t>
      </w:r>
      <w:r>
        <w:rPr>
          <w:rStyle w:val="CharStyle23"/>
          <w:lang w:val="en-US" w:eastAsia="en-US"/>
        </w:rPr>
        <w:t>10340370;</w:t>
      </w:r>
      <w:bookmarkEnd w:id="34"/>
    </w:p>
    <w:p>
      <w:pPr>
        <w:pStyle w:val="Style22"/>
        <w:keepNext/>
        <w:keepLines/>
        <w:widowControl w:val="0"/>
        <w:numPr>
          <w:ilvl w:val="0"/>
          <w:numId w:val="1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/>
        <w:jc w:val="both"/>
      </w:pPr>
      <w:bookmarkStart w:id="36" w:name="bookmark36"/>
      <w:r>
        <w:rPr>
          <w:rStyle w:val="CharStyle23"/>
        </w:rPr>
        <w:t xml:space="preserve">ООО «Гераклион Эквип» с реестровым номером </w:t>
      </w:r>
      <w:r>
        <w:rPr>
          <w:rStyle w:val="CharStyle23"/>
          <w:lang w:val="en-US" w:eastAsia="en-US"/>
        </w:rPr>
        <w:t>10549903.</w:t>
      </w:r>
      <w:bookmarkEnd w:id="3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На основании изложенного Комиссия УФАС признает данный довод жалобы Заявителя </w:t>
      </w:r>
      <w:r>
        <w:rPr>
          <w:rStyle w:val="CharStyle14"/>
          <w:b/>
          <w:bCs/>
        </w:rPr>
        <w:t>необоснованным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Руководствуясь статьями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</w:t>
      </w:r>
      <w:r>
        <w:rPr>
          <w:rStyle w:val="CharStyle14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Признать жалобу ИП Щелокова И.В. частично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Признать в действиях Заказчика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Комитета по физической культуре и спорту МО «Город Майкоп» нарушение пункта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Выдать Заказчику, Уполномоченному органу, Оператору электронной площадки обязательное для исполнения предписание об устранении нарушений законодательства о контрактной системе в сфере закупок путем внесения изменений в извещение о проведении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45" w:val="left"/>
        </w:tabs>
        <w:bidi w:val="0"/>
        <w:spacing w:before="0" w:after="60" w:line="240" w:lineRule="auto"/>
        <w:ind w:left="0" w:right="0" w:firstLine="640"/>
        <w:jc w:val="both"/>
      </w:pPr>
      <w:r>
        <w:rPr>
          <w:rStyle w:val="CharStyle14"/>
        </w:rPr>
        <w:t>Передать материалы дела уполномоченному должностному лицу Адыгейского УФАС России для рассмотрения вопроса о возбуждении дела об административном правонарушении.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645" w:right="546" w:bottom="141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163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2562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200000000000003pt;margin-top:26.pt;width:143.75pt;height:19.900000000000002pt;z-index:-125829373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2" behindDoc="0" locked="0" layoutInCell="1" allowOverlap="1">
            <wp:simplePos x="0" y="0"/>
            <wp:positionH relativeFrom="page">
              <wp:posOffset>3180715</wp:posOffset>
            </wp:positionH>
            <wp:positionV relativeFrom="paragraph">
              <wp:posOffset>403225</wp:posOffset>
            </wp:positionV>
            <wp:extent cx="359410" cy="52451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3641090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6.69999999999999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3.55000000000001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1630" distL="0" distR="0" simplePos="0" relativeHeight="125829383" behindDoc="0" locked="0" layoutInCell="1" allowOverlap="1">
                <wp:simplePos x="0" y="0"/>
                <wp:positionH relativeFrom="page">
                  <wp:posOffset>6323330</wp:posOffset>
                </wp:positionH>
                <wp:positionV relativeFrom="paragraph">
                  <wp:posOffset>330200</wp:posOffset>
                </wp:positionV>
                <wp:extent cx="86233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97.90000000000003pt;margin-top:26.pt;width:67.900000000000006pt;height:19.900000000000002pt;z-index:-125829370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Кому выдан: </w:t>
      </w:r>
      <w:r>
        <w:rPr>
          <w:rStyle w:val="CharStyle33"/>
          <w:color w:val="000000"/>
        </w:rPr>
        <w:t>ЖУКОВ АЗАМАТ ГАСАНОВИЧ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Сертификат </w:t>
      </w:r>
      <w:r>
        <w:rPr>
          <w:rStyle w:val="CharStyle33"/>
          <w:color w:val="292929"/>
        </w:rPr>
        <w:t xml:space="preserve">№ </w:t>
      </w:r>
      <w:r>
        <w:rPr>
          <w:rStyle w:val="CharStyle33"/>
          <w:lang w:val="en-US" w:eastAsia="en-US"/>
        </w:rPr>
        <w:t>4B9C8818528740555A2694AABD28237A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3"/>
        </w:rPr>
        <w:t>Действителен с 21.05.2025 по 14.08.2026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1" w:bottom="8924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5900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7.950000000000003pt;margin-top:7.pt;width:105.60000000000001pt;height:19.699999999999999pt;z-index:-125829368;mso-wrap-distance-left:0;mso-wrap-distance-top:7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6255" simplePos="0" relativeHeight="125829387" behindDoc="0" locked="0" layoutInCell="1" allowOverlap="1">
            <wp:simplePos x="0" y="0"/>
            <wp:positionH relativeFrom="page">
              <wp:posOffset>3180715</wp:posOffset>
            </wp:positionH>
            <wp:positionV relativeFrom="paragraph">
              <wp:posOffset>158750</wp:posOffset>
            </wp:positionV>
            <wp:extent cx="359410" cy="39624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83.55000000000001pt;margin-top:19.4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5900" distL="0" distR="0" simplePos="0" relativeHeight="125829388" behindDoc="0" locked="0" layoutInCell="1" allowOverlap="1">
                <wp:simplePos x="0" y="0"/>
                <wp:positionH relativeFrom="page">
                  <wp:posOffset>6015355</wp:posOffset>
                </wp:positionH>
                <wp:positionV relativeFrom="paragraph">
                  <wp:posOffset>88900</wp:posOffset>
                </wp:positionV>
                <wp:extent cx="1173480" cy="25019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73.65000000000003pt;margin-top:7.pt;width:92.400000000000006pt;height:19.699999999999999pt;z-index:-125829365;mso-wrap-distance-left:0;mso-wrap-distance-top:7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4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Кому выдан: </w:t>
      </w:r>
      <w:r>
        <w:rPr>
          <w:rStyle w:val="CharStyle33"/>
          <w:color w:val="000000"/>
        </w:rPr>
        <w:t>Керашева Сусана Муратовна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Сертификат № </w:t>
      </w:r>
      <w:r>
        <w:rPr>
          <w:rStyle w:val="CharStyle33"/>
          <w:lang w:val="en-US" w:eastAsia="en-US"/>
        </w:rPr>
        <w:t>00A0FD32E0EFEE026E624F0421626EED3A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33"/>
        </w:rPr>
        <w:t xml:space="preserve">Действителен с 17.01.2025 </w:t>
      </w:r>
      <w:r>
        <w:rPr>
          <w:rStyle w:val="CharStyle33"/>
          <w:color w:val="5D5D5D"/>
        </w:rPr>
        <w:t xml:space="preserve">по </w:t>
      </w:r>
      <w:r>
        <w:rPr>
          <w:rStyle w:val="CharStyle33"/>
        </w:rPr>
        <w:t>12.04.2026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020" w:right="0" w:firstLine="0"/>
        <w:jc w:val="lef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3180715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83.55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Н.А. Клюкина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4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Кому выдан: </w:t>
      </w:r>
      <w:r>
        <w:rPr>
          <w:rStyle w:val="CharStyle33"/>
          <w:color w:val="000000"/>
        </w:rPr>
        <w:t>КЛЮКИНА НАТАЛЬЯ АЛЕКСАНДРОВНА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Сертификат </w:t>
      </w:r>
      <w:r>
        <w:rPr>
          <w:rStyle w:val="CharStyle33"/>
          <w:color w:val="292929"/>
        </w:rPr>
        <w:t xml:space="preserve">№ </w:t>
      </w:r>
      <w:r>
        <w:rPr>
          <w:rStyle w:val="CharStyle33"/>
          <w:lang w:val="en-US" w:eastAsia="en-US"/>
        </w:rPr>
        <w:t>68C6EA25EAC373ADCFE5D67D96FA5798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3"/>
        </w:rPr>
        <w:t xml:space="preserve">Действителен с 09.06.2025 </w:t>
      </w:r>
      <w:r>
        <w:rPr>
          <w:rStyle w:val="CharStyle33"/>
          <w:color w:val="5D5D5D"/>
        </w:rPr>
        <w:t xml:space="preserve">по </w:t>
      </w:r>
      <w:r>
        <w:rPr>
          <w:rStyle w:val="CharStyle33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1" w:bottom="1666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2025-2499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2025-2499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10024110</wp:posOffset>
              </wp:positionV>
              <wp:extent cx="658495" cy="12827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  <w:lang w:val="ru-RU" w:eastAsia="ru-RU"/>
                            </w:rPr>
                            <w:t>2025-2499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pt;margin-top:789.30000000000007pt;width:51.85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  <w:lang w:val="ru-RU" w:eastAsia="ru-RU"/>
                      </w:rPr>
                      <w:t>2025-2499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10024110</wp:posOffset>
              </wp:positionV>
              <wp:extent cx="658495" cy="12827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  <w:lang w:val="ru-RU" w:eastAsia="ru-RU"/>
                            </w:rPr>
                            <w:t>2025-2499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pt;margin-top:789.30000000000007pt;width:51.850000000000001pt;height:10.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  <w:lang w:val="ru-RU" w:eastAsia="ru-RU"/>
                      </w:rPr>
                      <w:t>2025-2499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759460</wp:posOffset>
              </wp:positionV>
              <wp:extent cx="76200" cy="6731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05000000000001pt;margin-top:59.800000000000004pt;width:6.pt;height:5.2999999999999998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742950</wp:posOffset>
              </wp:positionV>
              <wp:extent cx="7937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58.5pt;width:6.2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759460</wp:posOffset>
              </wp:positionV>
              <wp:extent cx="76200" cy="6731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05000000000001pt;margin-top:59.800000000000004pt;width:6.pt;height:5.2999999999999998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742950</wp:posOffset>
              </wp:positionV>
              <wp:extent cx="7937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9.pt;margin-top:58.5pt;width:6.25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Heading #1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3">
    <w:name w:val="Body text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ind w:firstLine="6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2">
    <w:name w:val="Body text (2)"/>
    <w:basedOn w:val="Normal"/>
    <w:link w:val="CharStyle33"/>
    <w:pPr>
      <w:widowControl w:val="0"/>
      <w:shd w:val="clear" w:color="auto" w:fill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Relationship Id="rId14" Type="http://schemas.openxmlformats.org/officeDocument/2006/relationships/header" Target="header4.xml"/><Relationship Id="rId15" Type="http://schemas.openxmlformats.org/officeDocument/2006/relationships/footer" Target="footer5.xml"/><Relationship Id="rId16" Type="http://schemas.openxmlformats.org/officeDocument/2006/relationships/image" Target="media/image2.jpeg"/><Relationship Id="rId17" Type="http://schemas.openxmlformats.org/officeDocument/2006/relationships/image" Target="media/image2.jpeg" TargetMode="External"/><Relationship Id="rId18" Type="http://schemas.openxmlformats.org/officeDocument/2006/relationships/image" Target="media/image3.jpeg"/><Relationship Id="rId19" Type="http://schemas.openxmlformats.org/officeDocument/2006/relationships/image" Target="media/image3.jpeg" TargetMode="External"/><Relationship Id="rId20" Type="http://schemas.openxmlformats.org/officeDocument/2006/relationships/image" Target="media/image4.jpeg"/><Relationship Id="rId21" Type="http://schemas.openxmlformats.org/officeDocument/2006/relationships/image" Target="media/image4.jpeg" TargetMode="External"/></Relationships>
</file>