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spacing w:lineRule="exact" w:line="1"/>
        <w:rPr>
          <w:sz w:val="2"/>
          <w:szCs w:val="2"/>
        </w:rPr>
      </w:pPr>
      <w:r>
        <w:br w:type="column"/>
      </w:r>
    </w:p>
    <w:p>
      <w:pPr>
        <w:pStyle w:val="Style9"/>
        <w:keepNext w:val="0"/>
        <w:keepLines w:val="0"/>
        <w:widowControl w:val="0"/>
        <w:shd w:val="clear" w:color="auto" w:fill="auto"/>
        <w:bidi w:val="0"/>
        <w:spacing w:before="0" w:after="280" w:line="240" w:lineRule="auto"/>
        <w:ind w:left="0" w:right="0" w:firstLine="0"/>
        <w:jc w:val="left"/>
      </w:pPr>
      <w:r>
        <w:rPr>
          <w:rStyle w:val="CharStyle10"/>
        </w:rPr>
        <w:t xml:space="preserve">ООО «ОТАЛ» </w:t>
      </w:r>
      <w:r>
        <w:fldChar w:fldCharType="begin"/>
      </w:r>
      <w:r>
        <w:rPr/>
        <w:instrText> HYPERLINK "mailto:ooo.otal2015@gmail.com" </w:instrText>
      </w:r>
      <w:r>
        <w:fldChar w:fldCharType="separate"/>
      </w:r>
      <w:r>
        <w:rPr>
          <w:rStyle w:val="CharStyle10"/>
          <w:lang w:val="en-US" w:eastAsia="en-US"/>
        </w:rPr>
        <w:t>ooo.otal2015@gmail.com</w:t>
      </w:r>
      <w:r>
        <w:fldChar w:fldCharType="end"/>
      </w:r>
    </w:p>
    <w:p>
      <w:pPr>
        <w:pStyle w:val="Style9"/>
        <w:keepNext w:val="0"/>
        <w:keepLines w:val="0"/>
        <w:widowControl w:val="0"/>
        <w:shd w:val="clear" w:color="auto" w:fill="auto"/>
        <w:bidi w:val="0"/>
        <w:spacing w:before="0" w:after="0" w:line="240" w:lineRule="auto"/>
        <w:ind w:left="0" w:right="0" w:firstLine="0"/>
        <w:jc w:val="left"/>
      </w:pPr>
      <w:r>
        <w:rPr>
          <w:rStyle w:val="CharStyle10"/>
        </w:rPr>
        <w:t>ГБУЗ «ГКБ им. М.П. Кончаловского</w:t>
      </w:r>
    </w:p>
    <w:p>
      <w:pPr>
        <w:pStyle w:val="Style9"/>
        <w:keepNext w:val="0"/>
        <w:keepLines w:val="0"/>
        <w:widowControl w:val="0"/>
        <w:shd w:val="clear" w:color="auto" w:fill="auto"/>
        <w:bidi w:val="0"/>
        <w:spacing w:before="0" w:after="0" w:line="240" w:lineRule="auto"/>
        <w:ind w:left="0" w:right="0" w:firstLine="0"/>
        <w:jc w:val="left"/>
      </w:pPr>
      <w:r>
        <w:rPr>
          <w:rStyle w:val="CharStyle10"/>
        </w:rPr>
        <w:t>ДЗМ»</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"mailto:torgi-gb3@zdrav.mos.ru" </w:instrText>
      </w:r>
      <w:r>
        <w:fldChar w:fldCharType="separate"/>
      </w:r>
      <w:r>
        <w:rPr>
          <w:rStyle w:val="CharStyle10"/>
          <w:lang w:val="en-US" w:eastAsia="en-US"/>
        </w:rPr>
        <w:t>torgi-gb3@zdrav.mos.ru</w:t>
      </w:r>
      <w:r>
        <w:fldChar w:fldCharType="end"/>
      </w:r>
    </w:p>
    <w:p>
      <w:pPr>
        <w:pStyle w:val="Style9"/>
        <w:keepNext w:val="0"/>
        <w:keepLines w:val="0"/>
        <w:widowControl w:val="0"/>
        <w:shd w:val="clear" w:color="auto" w:fill="auto"/>
        <w:bidi w:val="0"/>
        <w:spacing w:before="0" w:after="0" w:line="240" w:lineRule="auto"/>
        <w:ind w:left="0" w:right="0" w:firstLine="0"/>
        <w:jc w:val="left"/>
        <w:sectPr>
          <w:footerReference w:type="default" r:id="rId7"/>
          <w:footerReference w:type="even" r:id="rId8"/>
          <w:footnotePr>
            <w:pos w:val="pageBottom"/>
            <w:numFmt w:val="decimal"/>
            <w:numRestart w:val="continuous"/>
          </w:footnotePr>
          <w:pgSz w:w="11900" w:h="16840"/>
          <w:pgMar w:top="294" w:right="1113" w:bottom="617" w:left="1135" w:header="0" w:footer="3" w:gutter="0"/>
          <w:pgNumType w:start="1"/>
          <w:cols w:num="2" w:space="888"/>
          <w:noEndnote/>
          <w:rtlGutter w:val="0"/>
          <w:docGrid w:linePitch="360"/>
        </w:sectPr>
      </w:pPr>
      <w:r>
        <w:rPr>
          <w:rStyle w:val="CharStyle10"/>
        </w:rPr>
        <w:t xml:space="preserve">АО«ЕЭТП» </w:t>
      </w:r>
      <w:r>
        <w:fldChar w:fldCharType="begin"/>
      </w:r>
      <w:r>
        <w:rPr/>
        <w:instrText> HYPERLINK "mailto:ko@roseltorg.ru" </w:instrText>
      </w:r>
      <w:r>
        <w:fldChar w:fldCharType="separate"/>
      </w:r>
      <w:r>
        <w:rPr>
          <w:rStyle w:val="CharStyle10"/>
          <w:lang w:val="en-US" w:eastAsia="en-US"/>
        </w:rPr>
        <w:t>ko@roseltorg.ru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617"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938" w:val="left"/>
        </w:tabs>
        <w:bidi w:val="0"/>
        <w:spacing w:before="0" w:after="0" w:line="240" w:lineRule="auto"/>
        <w:ind w:left="0" w:right="0" w:firstLine="0"/>
        <w:jc w:val="center"/>
      </w:pPr>
      <w:r>
        <w:rPr>
          <w:rStyle w:val="CharStyle10"/>
          <w:b/>
          <w:bCs/>
        </w:rPr>
        <w:t>по делу № 077/06/106-11043/2025 о нарушении</w:t>
        <w:br/>
        <w:t>законодательства о контрактной системе</w:t>
        <w:br/>
        <w:t>09.09.2025</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Ведущего специалиста-эксперта отдела обжалования государственных закупок М.В. Сорбучевой,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представителя ГБУЗ «ГКБ им. М.П. Кончаловского ДЗМ»: С.В. Кутузовой (по дов. от 05.09.2025 №0914), участвующей до и после переноса заседания,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отсутствие представителей ООО «ОТАЛ», о времени и порядке заседания Комиссии уведомленных Московским УФАС России посредством размещения информации в Единой информационной системе (далее — ЕИС),</w:t>
      </w:r>
    </w:p>
    <w:p>
      <w:pPr>
        <w:pStyle w:val="Style9"/>
        <w:keepNext w:val="0"/>
        <w:keepLines w:val="0"/>
        <w:widowControl w:val="0"/>
        <w:shd w:val="clear" w:color="auto" w:fill="auto"/>
        <w:bidi w:val="0"/>
        <w:spacing w:before="0" w:after="220" w:line="240" w:lineRule="auto"/>
        <w:ind w:left="0" w:right="0" w:firstLine="700"/>
        <w:jc w:val="both"/>
      </w:pPr>
      <w:r>
        <w:rPr>
          <w:rStyle w:val="CharStyle10"/>
        </w:rPr>
        <w:t>рассмотрев жалобу ООО «ОТАЛ» (далее — Заявитель) на действия ГБУЗ «ГКБ им. М.П. Кончаловского ДЗМ» (далее — Заказчик) при проведении электронного аукциона на право заключения государственного контракта на поставку медицинского расходного материала для нужд ГБУЗ «ГКБ им. М.П. Кончаловского ДЗМ» ПАО ЛОТ №3 (Закупка №0373200063125000914) (далее — аукцион, электронный аукцион) в соответствии с Федеральным законом от 05.04.2013 № 44-ФЗ «О контрактной системе в сфере закупок товаров, работ, услуг</w:t>
      </w:r>
    </w:p>
    <w:p>
      <w:pPr>
        <w:pStyle w:val="Style12"/>
        <w:keepNext/>
        <w:keepLines/>
        <w:widowControl w:val="0"/>
        <w:shd w:val="clear" w:color="auto" w:fill="auto"/>
        <w:bidi w:val="0"/>
        <w:spacing w:before="0" w:after="0" w:line="240" w:lineRule="auto"/>
        <w:ind w:left="0" w:right="0"/>
        <w:jc w:val="left"/>
        <w:sectPr>
          <w:footnotePr>
            <w:pos w:val="pageBottom"/>
            <w:numFmt w:val="decimal"/>
            <w:numRestart w:val="continuous"/>
          </w:footnotePr>
          <w:type w:val="continuous"/>
          <w:pgSz w:w="11900" w:h="16840"/>
          <w:pgMar w:top="294" w:right="532" w:bottom="617" w:left="1106" w:header="0" w:footer="3" w:gutter="0"/>
          <w:cols w:space="720"/>
          <w:noEndnote/>
          <w:rtlGutter w:val="0"/>
          <w:docGrid w:linePitch="360"/>
        </w:sectPr>
      </w:pPr>
      <w:bookmarkStart w:id="0" w:name="bookmark0"/>
      <w:r>
        <w:rPr>
          <w:rStyle w:val="CharStyle13"/>
        </w:rPr>
        <w:t>IIIIIIIIIIIIIIIIIIIIIIIIIII</w:t>
      </w:r>
      <w:bookmarkEnd w:id="0"/>
    </w:p>
    <w:p>
      <w:pPr>
        <w:pStyle w:val="Style9"/>
        <w:keepNext w:val="0"/>
        <w:keepLines w:val="0"/>
        <w:widowControl w:val="0"/>
        <w:shd w:val="clear" w:color="auto" w:fill="auto"/>
        <w:bidi w:val="0"/>
        <w:spacing w:before="0" w:after="280" w:line="240" w:lineRule="auto"/>
        <w:ind w:left="0" w:right="0" w:firstLine="0"/>
        <w:jc w:val="both"/>
      </w:pPr>
      <w:r>
        <w:rPr>
          <w:rStyle w:val="CharStyle10"/>
        </w:rPr>
        <w:t xml:space="preserve">для обеспечения государственных и муниципальных нужд» (далее </w:t>
      </w:r>
      <w:r>
        <w:rPr>
          <w:rStyle w:val="CharStyle10"/>
          <w:lang w:val="en-US" w:eastAsia="en-US"/>
        </w:rPr>
        <w:t xml:space="preserve">– </w:t>
      </w:r>
      <w:r>
        <w:rPr>
          <w:rStyle w:val="CharStyle10"/>
        </w:rPr>
        <w:t>Закон о контрактной системе),</w:t>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Заявитель обжалует действия Заказчика, выразившиеся в утверждении извещения в нарушение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1"/>
        </w:numPr>
        <w:shd w:val="clear" w:color="auto" w:fill="auto"/>
        <w:tabs>
          <w:tab w:pos="1075" w:val="left"/>
        </w:tabs>
        <w:bidi w:val="0"/>
        <w:spacing w:before="0" w:after="0" w:line="240" w:lineRule="auto"/>
        <w:ind w:left="0" w:right="0" w:firstLine="700"/>
        <w:jc w:val="both"/>
      </w:pPr>
      <w:r>
        <w:rPr>
          <w:rStyle w:val="CharStyle10"/>
        </w:rPr>
        <w:t>сопровождение такого указания словами «или эквивалент»;</w:t>
      </w:r>
    </w:p>
    <w:p>
      <w:pPr>
        <w:pStyle w:val="Style9"/>
        <w:keepNext w:val="0"/>
        <w:keepLines w:val="0"/>
        <w:widowControl w:val="0"/>
        <w:numPr>
          <w:ilvl w:val="0"/>
          <w:numId w:val="1"/>
        </w:numPr>
        <w:shd w:val="clear" w:color="auto" w:fill="auto"/>
        <w:tabs>
          <w:tab w:pos="1076" w:val="left"/>
        </w:tabs>
        <w:bidi w:val="0"/>
        <w:spacing w:before="0" w:after="0" w:line="240" w:lineRule="auto"/>
        <w:ind w:left="0" w:right="0" w:firstLine="700"/>
        <w:jc w:val="both"/>
      </w:pPr>
      <w:r>
        <w:rPr>
          <w:rStyle w:val="CharStyle1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1"/>
        </w:numPr>
        <w:shd w:val="clear" w:color="auto" w:fill="auto"/>
        <w:tabs>
          <w:tab w:pos="1186" w:val="left"/>
        </w:tabs>
        <w:bidi w:val="0"/>
        <w:spacing w:before="0" w:after="0" w:line="240" w:lineRule="auto"/>
        <w:ind w:left="0" w:right="0" w:firstLine="700"/>
        <w:jc w:val="both"/>
      </w:pPr>
      <w:r>
        <w:rPr>
          <w:rStyle w:val="CharStyle1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numPr>
          <w:ilvl w:val="0"/>
          <w:numId w:val="3"/>
        </w:numPr>
        <w:shd w:val="clear" w:color="auto" w:fill="auto"/>
        <w:tabs>
          <w:tab w:pos="975" w:val="left"/>
        </w:tabs>
        <w:bidi w:val="0"/>
        <w:spacing w:before="0" w:after="280" w:line="286" w:lineRule="auto"/>
        <w:ind w:left="0" w:right="0" w:firstLine="700"/>
        <w:jc w:val="both"/>
        <w:rPr>
          <w:sz w:val="24"/>
          <w:szCs w:val="24"/>
        </w:rPr>
        <w:sectPr>
          <w:headerReference w:type="default" r:id="rId9"/>
          <w:footerReference w:type="default" r:id="rId10"/>
          <w:headerReference w:type="even" r:id="rId11"/>
          <w:footerReference w:type="even" r:id="rId12"/>
          <w:footnotePr>
            <w:pos w:val="pageBottom"/>
            <w:numFmt w:val="decimal"/>
            <w:numRestart w:val="continuous"/>
          </w:footnotePr>
          <w:pgSz w:w="11900" w:h="16840"/>
          <w:pgMar w:top="846" w:right="546" w:bottom="361" w:left="1106" w:header="0" w:footer="3" w:gutter="0"/>
          <w:cols w:space="720"/>
          <w:noEndnote/>
          <w:rtlGutter w:val="0"/>
          <w:docGrid w:linePitch="360"/>
        </w:sectPr>
      </w:pPr>
      <w:r>
        <w:rPr>
          <w:rStyle w:val="CharStyle10"/>
          <w:lang w:val="en-US" w:eastAsia="en-US"/>
        </w:rPr>
        <w:t xml:space="preserve">. </w:t>
      </w:r>
      <w:r>
        <w:rPr>
          <w:rStyle w:val="CharStyle10"/>
        </w:rPr>
        <w:t xml:space="preserve">В составе жалобы Заявитель указывает, что в нарушение ст.33 Закона о контрактной системе Заказчиком описаны закупаемые товары по п.2 «Кисточка с </w:t>
      </w:r>
      <w:r>
        <w:rPr>
          <w:rStyle w:val="CharStyle10"/>
          <w:sz w:val="24"/>
          <w:szCs w:val="24"/>
          <w:lang w:val="en-US" w:eastAsia="en-US"/>
        </w:rPr>
        <w:t>2025-41546</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магнитом, длина ворса </w:t>
      </w:r>
      <w:r>
        <w:rPr>
          <w:rStyle w:val="CharStyle10"/>
          <w:lang w:val="en-US" w:eastAsia="en-US"/>
        </w:rPr>
        <w:t xml:space="preserve">35 </w:t>
      </w:r>
      <w:r>
        <w:rPr>
          <w:rStyle w:val="CharStyle10"/>
        </w:rPr>
        <w:t xml:space="preserve">мм, производства </w:t>
      </w:r>
      <w:r>
        <w:rPr>
          <w:rStyle w:val="CharStyle10"/>
          <w:lang w:val="en-US" w:eastAsia="en-US"/>
        </w:rPr>
        <w:t xml:space="preserve">Leica Biosystems» </w:t>
      </w:r>
      <w:r>
        <w:rPr>
          <w:rStyle w:val="CharStyle10"/>
        </w:rPr>
        <w:t xml:space="preserve">кода ОКПД2 </w:t>
      </w:r>
      <w:r>
        <w:rPr>
          <w:rStyle w:val="CharStyle10"/>
          <w:lang w:val="en-US" w:eastAsia="en-US"/>
        </w:rPr>
        <w:t xml:space="preserve">32.50.13.190 </w:t>
      </w:r>
      <w:r>
        <w:rPr>
          <w:rStyle w:val="CharStyle10"/>
        </w:rPr>
        <w:t xml:space="preserve">описания объекта закупки и п.3 «Кисточка, тонкая, для сбора срезов, производства </w:t>
      </w:r>
      <w:r>
        <w:rPr>
          <w:rStyle w:val="CharStyle10"/>
          <w:lang w:val="en-US" w:eastAsia="en-US"/>
        </w:rPr>
        <w:t xml:space="preserve">Leica Biosystems» </w:t>
      </w:r>
      <w:r>
        <w:rPr>
          <w:rStyle w:val="CharStyle10"/>
        </w:rPr>
        <w:t xml:space="preserve">кода ОКПД2 </w:t>
      </w:r>
      <w:r>
        <w:rPr>
          <w:rStyle w:val="CharStyle10"/>
          <w:lang w:val="en-US" w:eastAsia="en-US"/>
        </w:rPr>
        <w:t xml:space="preserve">32.50.13.190 </w:t>
      </w:r>
      <w:r>
        <w:rPr>
          <w:rStyle w:val="CharStyle10"/>
        </w:rPr>
        <w:t xml:space="preserve">описания объекта закупки таким образом, что возможно поставить исключительно товары </w:t>
      </w:r>
      <w:r>
        <w:rPr>
          <w:rStyle w:val="CharStyle10"/>
          <w:lang w:val="en-US" w:eastAsia="en-US"/>
        </w:rPr>
        <w:t xml:space="preserve">Leica Biosystems </w:t>
      </w:r>
      <w:r>
        <w:rPr>
          <w:rStyle w:val="CharStyle10"/>
        </w:rPr>
        <w:t>без возможности предложения эквивалентной продукции.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представитель Заказчика пояснил, что напротив извещение об осуществлении закупки содержит в себе указание на возможность поставки эквивалента.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Комиссия Управления считает необходимым отметить, что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10"/>
          <w:lang w:val="en-US" w:eastAsia="en-US"/>
        </w:rPr>
        <w:t xml:space="preserve">- </w:t>
      </w:r>
      <w:r>
        <w:rPr>
          <w:rStyle w:val="CharStyle10"/>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принятии решения Комиссия Управления исходит из того, что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Вместе с тем на заседании Комиссии Управления Заказчиком не представлено документов и сведений, подтверждающих соответствие товаров как минимум двух различных производителей по п.2, </w:t>
      </w:r>
      <w:r>
        <w:rPr>
          <w:rStyle w:val="CharStyle10"/>
          <w:lang w:val="en-US" w:eastAsia="en-US"/>
        </w:rPr>
        <w:t xml:space="preserve">3 </w:t>
      </w:r>
      <w:r>
        <w:rPr>
          <w:rStyle w:val="CharStyle10"/>
        </w:rPr>
        <w:t xml:space="preserve">описания объекта закупки. Одновременно с этим представителем Заказчика не представлена информация, подтверждающая необходимость закупки оригинальных расходных материалов в соответствии с одним из пп. «б» </w:t>
      </w:r>
      <w:r>
        <w:rPr>
          <w:rStyle w:val="CharStyle10"/>
          <w:lang w:val="en-US" w:eastAsia="en-US"/>
        </w:rPr>
        <w:t xml:space="preserve">- </w:t>
      </w:r>
      <w:r>
        <w:rPr>
          <w:rStyle w:val="CharStyle10"/>
        </w:rPr>
        <w:t>«г» п.1 ч.1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Исходя из вышеизложенного, Комиссия Управления приходит выводу о нарушении Заказчиком положений п.1 ч.1 ст.33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9"/>
        <w:keepNext w:val="0"/>
        <w:keepLines w:val="0"/>
        <w:widowControl w:val="0"/>
        <w:numPr>
          <w:ilvl w:val="0"/>
          <w:numId w:val="3"/>
        </w:numPr>
        <w:shd w:val="clear" w:color="auto" w:fill="auto"/>
        <w:tabs>
          <w:tab w:pos="961" w:val="left"/>
        </w:tabs>
        <w:bidi w:val="0"/>
        <w:spacing w:before="0" w:after="0" w:line="240" w:lineRule="auto"/>
        <w:ind w:left="0" w:right="0" w:firstLine="700"/>
        <w:jc w:val="both"/>
      </w:pPr>
      <w:r>
        <w:rPr>
          <w:rStyle w:val="CharStyle10"/>
        </w:rPr>
        <w:t xml:space="preserve">.Наряду с этим Согласно доводам жалобы Заказчиком в описание объекта закупки включены дополнительные характеристики, в частности требование к материалу, без обоснования включения их при использовании позиции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КТРУ) </w:t>
      </w:r>
      <w:r>
        <w:rPr>
          <w:rStyle w:val="CharStyle10"/>
          <w:lang w:val="en-US" w:eastAsia="en-US"/>
        </w:rPr>
        <w:t xml:space="preserve">32.50.13.190-00006965 </w:t>
      </w:r>
      <w:r>
        <w:rPr>
          <w:rStyle w:val="CharStyle10"/>
        </w:rPr>
        <w:t>«Лезвие микротома ИВД, одноразового использования», что, по мнению Заявителя, нарушает положения Правил использования КТРУ и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846" w:right="541" w:bottom="788" w:left="1101" w:header="0" w:footer="3" w:gutter="0"/>
          <w:cols w:space="720"/>
          <w:noEndnote/>
          <w:rtlGutter w:val="0"/>
          <w:docGrid w:linePitch="360"/>
        </w:sectPr>
      </w:pPr>
      <w:r>
        <w:rPr>
          <w:rStyle w:val="CharStyle10"/>
        </w:rPr>
        <w:t>В силу п.5 ч.1 ст.42 Закона о контрактной системе извещение об</w:t>
      </w:r>
    </w:p>
    <w:p>
      <w:pPr>
        <w:pStyle w:val="Style9"/>
        <w:keepNext w:val="0"/>
        <w:keepLines w:val="0"/>
        <w:widowControl w:val="0"/>
        <w:shd w:val="clear" w:color="auto" w:fill="auto"/>
        <w:bidi w:val="0"/>
        <w:spacing w:before="0" w:after="0" w:line="240" w:lineRule="auto"/>
        <w:ind w:left="0" w:right="0" w:firstLine="0"/>
        <w:jc w:val="both"/>
      </w:pPr>
      <w:r>
        <w:rPr>
          <w:rStyle w:val="CharStyle10"/>
        </w:rPr>
        <w:t>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08.02.2017 №145 </w:t>
      </w:r>
      <w:r>
        <w:rPr>
          <w:rStyle w:val="CharStyle10"/>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Правила использования КТРУ).</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извещении об осуществлении закупки;</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10"/>
        </w:rPr>
        <w:t xml:space="preserve">приглашении принять участие в определении поставщика (подрядчика, исполнителя) (далее </w:t>
      </w:r>
      <w:r>
        <w:rPr>
          <w:rStyle w:val="CharStyle10"/>
          <w:lang w:val="en-US" w:eastAsia="en-US"/>
        </w:rPr>
        <w:t xml:space="preserve">— </w:t>
      </w:r>
      <w:r>
        <w:rPr>
          <w:rStyle w:val="CharStyle10"/>
        </w:rPr>
        <w:t>приглашение);</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документации о закупке (в случае если Федеральным законом</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предусмотрена документация о закупке);</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контракте;</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реестре контрактов, заключенных заказчиками.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7"/>
        </w:numPr>
        <w:shd w:val="clear" w:color="auto" w:fill="auto"/>
        <w:tabs>
          <w:tab w:pos="1104" w:val="left"/>
        </w:tabs>
        <w:bidi w:val="0"/>
        <w:spacing w:before="0" w:after="0" w:line="240" w:lineRule="auto"/>
        <w:ind w:left="0" w:right="0" w:firstLine="700"/>
        <w:jc w:val="both"/>
      </w:pPr>
      <w:r>
        <w:rPr>
          <w:rStyle w:val="CharStyle10"/>
        </w:rPr>
        <w:t>наименование товара, работы, услуги;</w:t>
      </w:r>
    </w:p>
    <w:p>
      <w:pPr>
        <w:pStyle w:val="Style9"/>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7"/>
        </w:numPr>
        <w:shd w:val="clear" w:color="auto" w:fill="auto"/>
        <w:tabs>
          <w:tab w:pos="1114" w:val="left"/>
        </w:tabs>
        <w:bidi w:val="0"/>
        <w:spacing w:before="0" w:after="0" w:line="240" w:lineRule="auto"/>
        <w:ind w:left="0" w:right="0" w:firstLine="700"/>
        <w:jc w:val="both"/>
      </w:pPr>
      <w:r>
        <w:rPr>
          <w:rStyle w:val="CharStyle10"/>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с.33 Закона о контрактной системе, которые не предусмотрены в позиции каталога.</w:t>
      </w:r>
    </w:p>
    <w:p>
      <w:pPr>
        <w:pStyle w:val="Style9"/>
        <w:keepNext w:val="0"/>
        <w:keepLines w:val="0"/>
        <w:widowControl w:val="0"/>
        <w:shd w:val="clear" w:color="auto" w:fill="auto"/>
        <w:bidi w:val="0"/>
        <w:spacing w:before="0" w:after="0" w:line="271" w:lineRule="auto"/>
        <w:ind w:left="0" w:right="0" w:firstLine="700"/>
        <w:jc w:val="both"/>
        <w:rPr>
          <w:sz w:val="24"/>
          <w:szCs w:val="24"/>
        </w:rPr>
        <w:sectPr>
          <w:footnotePr>
            <w:pos w:val="pageBottom"/>
            <w:numFmt w:val="decimal"/>
            <w:numRestart w:val="continuous"/>
          </w:footnotePr>
          <w:pgSz w:w="11900" w:h="16840"/>
          <w:pgMar w:top="846" w:right="541" w:bottom="380" w:left="1106" w:header="0" w:footer="3" w:gutter="0"/>
          <w:cols w:space="720"/>
          <w:noEndnote/>
          <w:rtlGutter w:val="0"/>
          <w:docGrid w:linePitch="360"/>
        </w:sectPr>
      </w:pPr>
      <w:r>
        <w:rPr>
          <w:rStyle w:val="CharStyle10"/>
        </w:rPr>
        <w:t xml:space="preserve">Вместе с тем в силу п. </w:t>
      </w:r>
      <w:r>
        <w:rPr>
          <w:rStyle w:val="CharStyle10"/>
          <w:lang w:val="en-US" w:eastAsia="en-US"/>
        </w:rPr>
        <w:t xml:space="preserve">6 </w:t>
      </w:r>
      <w:r>
        <w:rPr>
          <w:rStyle w:val="CharStyle10"/>
        </w:rPr>
        <w:t xml:space="preserve">Правил использования КТРУ в случае предоставления дополнительной информации, предусмотренной п. </w:t>
      </w:r>
      <w:r>
        <w:rPr>
          <w:rStyle w:val="CharStyle10"/>
          <w:lang w:val="en-US" w:eastAsia="en-US"/>
        </w:rPr>
        <w:t xml:space="preserve">5 </w:t>
      </w:r>
      <w:r>
        <w:rPr>
          <w:rStyle w:val="CharStyle10"/>
        </w:rPr>
        <w:t xml:space="preserve">Правил, заказчик обязан включить в описание товара, работы, услуги обоснование </w:t>
      </w:r>
      <w:r>
        <w:rPr>
          <w:rStyle w:val="CharStyle10"/>
          <w:sz w:val="24"/>
          <w:szCs w:val="24"/>
          <w:lang w:val="en-US" w:eastAsia="en-US"/>
        </w:rPr>
        <w:t>2025-41546</w:t>
      </w:r>
    </w:p>
    <w:p>
      <w:pPr>
        <w:pStyle w:val="Style9"/>
        <w:keepNext w:val="0"/>
        <w:keepLines w:val="0"/>
        <w:widowControl w:val="0"/>
        <w:shd w:val="clear" w:color="auto" w:fill="auto"/>
        <w:bidi w:val="0"/>
        <w:spacing w:before="0" w:after="0" w:line="240" w:lineRule="auto"/>
        <w:ind w:left="0" w:right="0" w:firstLine="0"/>
        <w:jc w:val="both"/>
      </w:pPr>
      <w:r>
        <w:rPr>
          <w:rStyle w:val="CharStyle10"/>
        </w:rPr>
        <w:t>необходимости использования такой информации (при наличии описания товара, работы, услуги в позиции каталога).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смысла положений п.7 Правил использования КТРУ регламентировано,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Комиссией Управления установлено, что согласно описанию объекта закупки п.1 «Лезвие микротома ИВД, одноразового использования» позиции КТРУ </w:t>
      </w:r>
      <w:r>
        <w:rPr>
          <w:rStyle w:val="CharStyle10"/>
          <w:lang w:val="en-US" w:eastAsia="en-US"/>
        </w:rPr>
        <w:t xml:space="preserve">32.50.13.190-00006965 </w:t>
      </w:r>
      <w:r>
        <w:rPr>
          <w:rStyle w:val="CharStyle10"/>
        </w:rPr>
        <w:t>Заказчиком установлены следующие требования к закупаемому товару, в частности: «Материал</w:t>
      </w:r>
      <w:r>
        <w:rPr>
          <w:rStyle w:val="CharStyle10"/>
          <w:i/>
          <w:iCs/>
        </w:rPr>
        <w:t>:</w:t>
      </w:r>
      <w:r>
        <w:rPr>
          <w:rStyle w:val="CharStyle10"/>
        </w:rPr>
        <w:t xml:space="preserve"> Нержавеющая сталь», при этом в разделе «Обоснование включения дополнительной информации в сведения о товаре, работе, услуге» предусмотрено следующее обоснование включения дополнительного требования, не предусмотренного выбранной позицией КТРУ </w:t>
      </w:r>
      <w:r>
        <w:rPr>
          <w:rStyle w:val="CharStyle10"/>
          <w:lang w:val="en-US" w:eastAsia="en-US"/>
        </w:rPr>
        <w:t xml:space="preserve">32.50.13.190-00006965: </w:t>
      </w:r>
      <w:r>
        <w:rPr>
          <w:rStyle w:val="CharStyle10"/>
        </w:rPr>
        <w:t>«</w:t>
      </w:r>
      <w:r>
        <w:rPr>
          <w:rStyle w:val="CharStyle10"/>
          <w:i/>
          <w:iCs/>
          <w:u w:val="single"/>
        </w:rPr>
        <w:t>Включение характеристик</w:t>
      </w:r>
      <w:r>
        <w:rPr>
          <w:rStyle w:val="CharStyle10"/>
          <w:i/>
          <w:iCs/>
        </w:rPr>
        <w:t xml:space="preserve"> продукции </w:t>
      </w:r>
      <w:r>
        <w:rPr>
          <w:rStyle w:val="CharStyle10"/>
          <w:i/>
          <w:iCs/>
          <w:u w:val="single"/>
        </w:rPr>
        <w:t>обусловлено отсутствием в КТРУ необходимых</w:t>
      </w:r>
      <w:r>
        <w:rPr>
          <w:rStyle w:val="CharStyle10"/>
          <w:i/>
          <w:iCs/>
        </w:rPr>
        <w:t xml:space="preserve"> к применению </w:t>
      </w:r>
      <w:r>
        <w:rPr>
          <w:rStyle w:val="CharStyle10"/>
          <w:i/>
          <w:iCs/>
          <w:u w:val="single"/>
        </w:rPr>
        <w:t>характеристик</w:t>
      </w:r>
      <w:r>
        <w:rPr>
          <w:rStyle w:val="CharStyle10"/>
          <w:i/>
          <w:iCs/>
        </w:rPr>
        <w:t xml:space="preserve"> объекта закупки. В соответствии с ч. </w:t>
      </w:r>
      <w:r>
        <w:rPr>
          <w:rStyle w:val="CharStyle10"/>
          <w:i/>
          <w:iCs/>
          <w:lang w:val="en-US" w:eastAsia="en-US"/>
        </w:rPr>
        <w:t xml:space="preserve">1 </w:t>
      </w:r>
      <w:r>
        <w:rPr>
          <w:rStyle w:val="CharStyle10"/>
          <w:i/>
          <w:iCs/>
        </w:rPr>
        <w:t xml:space="preserve">ст. </w:t>
      </w:r>
      <w:r>
        <w:rPr>
          <w:rStyle w:val="CharStyle10"/>
          <w:i/>
          <w:iCs/>
          <w:lang w:val="en-US" w:eastAsia="en-US"/>
        </w:rPr>
        <w:t xml:space="preserve">33 </w:t>
      </w:r>
      <w:r>
        <w:rPr>
          <w:rStyle w:val="CharStyle10"/>
          <w:i/>
          <w:iCs/>
        </w:rPr>
        <w:t xml:space="preserve">Закона </w:t>
      </w:r>
      <w:r>
        <w:rPr>
          <w:rStyle w:val="CharStyle10"/>
          <w:i/>
          <w:iCs/>
          <w:lang w:val="en-US" w:eastAsia="en-US"/>
        </w:rPr>
        <w:t xml:space="preserve">№44- </w:t>
      </w:r>
      <w:r>
        <w:rPr>
          <w:rStyle w:val="CharStyle10"/>
          <w:i/>
          <w:iCs/>
        </w:rPr>
        <w:t>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w:t>
      </w:r>
      <w:r>
        <w:rPr>
          <w:rStyle w:val="CharStyle10"/>
        </w:rPr>
        <w:t>».</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заседании Комиссии Управления представитель Заказчика пояснил, что, действительно, Заказчиком установлена дополнительная информация о характеристиках закупаемого изделия, непредусмотренной выбранной позицией </w:t>
      </w:r>
      <w:r>
        <w:rPr>
          <w:rStyle w:val="CharStyle10"/>
          <w:lang w:val="en-US" w:eastAsia="en-US"/>
        </w:rPr>
        <w:t xml:space="preserve">32.50.13.190-00006965. </w:t>
      </w:r>
      <w:r>
        <w:rPr>
          <w:rStyle w:val="CharStyle10"/>
        </w:rPr>
        <w:t>При этом вопреки доводам жалобы в извещении присутствует обоснование использования дополнительных характеристик, в том числе материала закупаемого изделия.</w:t>
      </w:r>
    </w:p>
    <w:p>
      <w:pPr>
        <w:pStyle w:val="Style9"/>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pgSz w:w="11900" w:h="16840"/>
          <w:pgMar w:top="846" w:right="532" w:bottom="788" w:left="1106" w:header="0" w:footer="3" w:gutter="0"/>
          <w:cols w:space="720"/>
          <w:noEndnote/>
          <w:rtlGutter w:val="0"/>
          <w:docGrid w:linePitch="360"/>
        </w:sectPr>
      </w:pPr>
      <w:r>
        <w:rPr>
          <w:rStyle w:val="CharStyle10"/>
        </w:rPr>
        <w:t>Комиссия Управления считает необходимым отметить, что размещенное Заказчиком в составе извещения, описания объекта закупки обоснование необходимости использования дополнительной информации не соответствует п.6 Правил использования КТРУ, так как формальное указание в описании объекта закупки, извещении об осуществлении закупки на отсутствие характеристики в позиции КТРУ не указывает на потребность Заказчика, подлежащую удовлетворению в связи с использованием дополнительной информацией, в части установления определенных требований к характеристикам закупаемых изделий, при этом указание на необходимость конкретизации закупаемого изделия, посредством установления дополнительных требований, также не может являться надлежащим исполнением требований п.6 Правил использования КТРУ, так как любые требования к характеристикам товаров, устанавливаемые Заказчиком в соответствии с п.1 ч.1 ст.33 Закона о контрактной системе, по своей сути позволяют идентифицировать товар, обособить такой товар от иных товаров соответствующей видовой категории.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Исходя из вышеизложенного Комиссия Управления приходит к выводу, что размещенное Заказчиком обоснование использования дополнительной, не предусмотренной позициями КТРУ, информация не соответствует требованиям п.6 Правил пользования КТРУ.</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 размещенное в составе описания объекта закупки обоснование необходимости использования дополнительной информации не соответствует п.6 Правил использования КТРУ, поскольку не обосновывает и не раскрывает потребность Заказчика в использовании такой информации при описании объекта закупки, поскольку обоснование сводится к тому, что Заказчиком установлены требования не предусмотренные каталогом, поскольку таких требований нет в каталоге.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этом по своей сути, отсутствие в КТРУ тех или иных характеристик товаров, является лишь причиной для отражения Заказчиком в описании объекта закупки характеристик не предусмотренных каталогом/ дополнительных требований (с обязательным обоснованием необходимости использования такой информации), а не обоснованием которое очевидно является следствием, в случае установления Заказчиком дополнительных характеристик не предусмотренных каталогом.</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вышеизложенного Комиссия Управления приходит к выводу о том, что размещенное в составе описания объекта закупки обоснование необходимости использования дополнительной информации, по вышеуказанной характеристике, не соответствует п.6 Правил использования КТРУ, так как не обосновывает и не раскрывает потребность Заказчика в установлении такой характеристики.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о нарушении Заказчиком положений ч.6 ст.23 Закона о контрактной системе, что также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00"/>
        <w:jc w:val="both"/>
      </w:pPr>
      <w:r>
        <w:rPr>
          <w:rStyle w:val="CharStyle10"/>
          <w:lang w:val="en-US" w:eastAsia="en-US"/>
        </w:rPr>
        <w:t xml:space="preserve">3 </w:t>
      </w:r>
      <w:r>
        <w:rPr>
          <w:rStyle w:val="CharStyle10"/>
        </w:rPr>
        <w:t xml:space="preserve">Заявитель также обжалует действия Заказчика, выразившиеся в утверждении положений извещения в нарушение законодательства о контрактной системе, в частности в неправомерном объединении в один лот поставки медицинских изделий разных видов номенклатурной классификации медицинских изделий (далее </w:t>
      </w:r>
      <w:r>
        <w:rPr>
          <w:rStyle w:val="CharStyle10"/>
          <w:lang w:val="en-US" w:eastAsia="en-US"/>
        </w:rPr>
        <w:t xml:space="preserve">— </w:t>
      </w:r>
      <w:r>
        <w:rPr>
          <w:rStyle w:val="CharStyle10"/>
        </w:rPr>
        <w:t xml:space="preserve">НКМИ), что противоречит требованиям постановления Правительства Российской Федерации от </w:t>
      </w:r>
      <w:r>
        <w:rPr>
          <w:rStyle w:val="CharStyle10"/>
          <w:lang w:val="en-US" w:eastAsia="en-US"/>
        </w:rPr>
        <w:t xml:space="preserve">1904.2021 № 620 </w:t>
      </w:r>
      <w:r>
        <w:rPr>
          <w:rStyle w:val="CharStyle10"/>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w:t>
      </w:r>
      <w:r>
        <w:rPr>
          <w:rStyle w:val="CharStyle10"/>
          <w:lang w:val="en-US" w:eastAsia="en-US"/>
        </w:rPr>
        <w:t xml:space="preserve">— </w:t>
      </w:r>
      <w:r>
        <w:rPr>
          <w:rStyle w:val="CharStyle10"/>
        </w:rPr>
        <w:t xml:space="preserve">Постановление </w:t>
      </w:r>
      <w:r>
        <w:rPr>
          <w:rStyle w:val="CharStyle10"/>
          <w:lang w:val="en-US" w:eastAsia="en-US"/>
        </w:rPr>
        <w:t>№620).</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п.9 ч.1 ст.42 Закона о контрактной системе извещение об осуществлении закупки должно содержать информацию о, в том числе, начальной (максимальной) цене контракта (цене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w:t>
      </w:r>
    </w:p>
    <w:p>
      <w:pPr>
        <w:pStyle w:val="Style9"/>
        <w:keepNext w:val="0"/>
        <w:keepLines w:val="0"/>
        <w:widowControl w:val="0"/>
        <w:shd w:val="clear" w:color="auto" w:fill="auto"/>
        <w:bidi w:val="0"/>
        <w:spacing w:before="0" w:after="0" w:line="240" w:lineRule="auto"/>
        <w:ind w:left="0" w:right="0" w:firstLine="700"/>
        <w:jc w:val="both"/>
      </w:pPr>
      <w:r>
        <w:rPr>
          <w:rStyle w:val="CharStyle10"/>
        </w:rPr>
        <w:t>П.2 ч.29 ст.34 Закона о контрактной системе установлено, что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9"/>
        <w:keepNext w:val="0"/>
        <w:keepLines w:val="0"/>
        <w:widowControl w:val="0"/>
        <w:shd w:val="clear" w:color="auto" w:fill="auto"/>
        <w:bidi w:val="0"/>
        <w:spacing w:before="0" w:after="0" w:line="329" w:lineRule="auto"/>
        <w:ind w:left="0" w:right="0" w:firstLine="700"/>
        <w:jc w:val="both"/>
        <w:rPr>
          <w:sz w:val="24"/>
          <w:szCs w:val="24"/>
        </w:rPr>
        <w:sectPr>
          <w:footnotePr>
            <w:pos w:val="pageBottom"/>
            <w:numFmt w:val="decimal"/>
            <w:numRestart w:val="continuous"/>
          </w:footnotePr>
          <w:pgSz w:w="11900" w:h="16840"/>
          <w:pgMar w:top="846" w:right="545" w:bottom="313" w:left="1101" w:header="0" w:footer="3" w:gutter="0"/>
          <w:cols w:space="720"/>
          <w:noEndnote/>
          <w:rtlGutter w:val="0"/>
          <w:docGrid w:linePitch="360"/>
        </w:sectPr>
      </w:pPr>
      <w:r>
        <w:rPr>
          <w:rStyle w:val="CharStyle10"/>
        </w:rPr>
        <w:t xml:space="preserve">П.1 Постановления </w:t>
      </w:r>
      <w:r>
        <w:rPr>
          <w:rStyle w:val="CharStyle10"/>
          <w:lang w:val="en-US" w:eastAsia="en-US"/>
        </w:rPr>
        <w:t xml:space="preserve">№620 </w:t>
      </w:r>
      <w:r>
        <w:rPr>
          <w:rStyle w:val="CharStyle10"/>
        </w:rPr>
        <w:t xml:space="preserve">установлено, что при осуществлении закупок </w:t>
      </w:r>
      <w:r>
        <w:rPr>
          <w:rStyle w:val="CharStyle10"/>
          <w:sz w:val="24"/>
          <w:szCs w:val="24"/>
          <w:lang w:val="en-US" w:eastAsia="en-US"/>
        </w:rPr>
        <w:t>2025-41546</w:t>
      </w:r>
    </w:p>
    <w:p>
      <w:pPr>
        <w:pStyle w:val="Style9"/>
        <w:keepNext w:val="0"/>
        <w:keepLines w:val="0"/>
        <w:widowControl w:val="0"/>
        <w:shd w:val="clear" w:color="auto" w:fill="auto"/>
        <w:bidi w:val="0"/>
        <w:spacing w:before="0" w:after="0" w:line="240" w:lineRule="auto"/>
        <w:ind w:left="0" w:right="0" w:firstLine="0"/>
        <w:jc w:val="both"/>
      </w:pPr>
      <w:r>
        <w:rPr>
          <w:rStyle w:val="CharStyle10"/>
        </w:rPr>
        <w:t>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9"/>
        <w:keepNext w:val="0"/>
        <w:keepLines w:val="0"/>
        <w:widowControl w:val="0"/>
        <w:shd w:val="clear" w:color="auto" w:fill="auto"/>
        <w:bidi w:val="0"/>
        <w:spacing w:before="0" w:after="0" w:line="240" w:lineRule="auto"/>
        <w:ind w:left="0" w:right="0" w:firstLine="700"/>
        <w:jc w:val="both"/>
      </w:pPr>
      <w:r>
        <w:rPr>
          <w:rStyle w:val="CharStyle10"/>
          <w:lang w:val="en-US" w:eastAsia="en-US"/>
        </w:rPr>
        <w:t xml:space="preserve">600 </w:t>
      </w:r>
      <w:r>
        <w:rPr>
          <w:rStyle w:val="CharStyle10"/>
        </w:rPr>
        <w:t xml:space="preserve">тыс. рублей </w:t>
      </w:r>
      <w:r>
        <w:rPr>
          <w:rStyle w:val="CharStyle10"/>
          <w:lang w:val="en-US" w:eastAsia="en-US"/>
        </w:rPr>
        <w:t xml:space="preserve">- </w:t>
      </w:r>
      <w:r>
        <w:rPr>
          <w:rStyle w:val="CharStyle10"/>
        </w:rPr>
        <w:t xml:space="preserve">для заказчиков, у которых объем денежных средств, направленных на закупку медицинских изделий в предшествующем году, составил менее </w:t>
      </w:r>
      <w:r>
        <w:rPr>
          <w:rStyle w:val="CharStyle10"/>
          <w:lang w:val="en-US" w:eastAsia="en-US"/>
        </w:rPr>
        <w:t xml:space="preserve">50 </w:t>
      </w:r>
      <w:r>
        <w:rPr>
          <w:rStyle w:val="CharStyle10"/>
        </w:rPr>
        <w:t>млн. рублей;</w:t>
      </w:r>
    </w:p>
    <w:p>
      <w:pPr>
        <w:pStyle w:val="Style9"/>
        <w:keepNext w:val="0"/>
        <w:keepLines w:val="0"/>
        <w:widowControl w:val="0"/>
        <w:numPr>
          <w:ilvl w:val="0"/>
          <w:numId w:val="9"/>
        </w:numPr>
        <w:shd w:val="clear" w:color="auto" w:fill="auto"/>
        <w:tabs>
          <w:tab w:pos="1037" w:val="left"/>
        </w:tabs>
        <w:bidi w:val="0"/>
        <w:spacing w:before="0" w:after="0" w:line="240" w:lineRule="auto"/>
        <w:ind w:left="0" w:right="0" w:firstLine="700"/>
        <w:jc w:val="both"/>
      </w:pPr>
      <w:r>
        <w:rPr>
          <w:rStyle w:val="CharStyle10"/>
        </w:rPr>
        <w:t xml:space="preserve">млн. рублей </w:t>
      </w:r>
      <w:r>
        <w:rPr>
          <w:rStyle w:val="CharStyle10"/>
          <w:lang w:val="en-US" w:eastAsia="en-US"/>
        </w:rPr>
        <w:t xml:space="preserve">- </w:t>
      </w:r>
      <w:r>
        <w:rPr>
          <w:rStyle w:val="CharStyle10"/>
        </w:rPr>
        <w:t xml:space="preserve">для заказчиков, у которых объем денежных средств, направленных на закупку медицинских изделий в предшествующем году, составил от </w:t>
      </w:r>
      <w:r>
        <w:rPr>
          <w:rStyle w:val="CharStyle10"/>
          <w:lang w:val="en-US" w:eastAsia="en-US"/>
        </w:rPr>
        <w:t xml:space="preserve">50 </w:t>
      </w:r>
      <w:r>
        <w:rPr>
          <w:rStyle w:val="CharStyle10"/>
        </w:rPr>
        <w:t xml:space="preserve">млн. рублей до </w:t>
      </w:r>
      <w:r>
        <w:rPr>
          <w:rStyle w:val="CharStyle10"/>
          <w:lang w:val="en-US" w:eastAsia="en-US"/>
        </w:rPr>
        <w:t xml:space="preserve">100 </w:t>
      </w:r>
      <w:r>
        <w:rPr>
          <w:rStyle w:val="CharStyle10"/>
        </w:rPr>
        <w:t>млн. рублей;</w:t>
      </w:r>
    </w:p>
    <w:p>
      <w:pPr>
        <w:pStyle w:val="Style9"/>
        <w:keepNext w:val="0"/>
        <w:keepLines w:val="0"/>
        <w:widowControl w:val="0"/>
        <w:numPr>
          <w:ilvl w:val="0"/>
          <w:numId w:val="11"/>
        </w:numPr>
        <w:shd w:val="clear" w:color="auto" w:fill="auto"/>
        <w:tabs>
          <w:tab w:pos="990" w:val="left"/>
        </w:tabs>
        <w:bidi w:val="0"/>
        <w:spacing w:before="0" w:after="0" w:line="240" w:lineRule="auto"/>
        <w:ind w:left="0" w:right="0" w:firstLine="700"/>
        <w:jc w:val="both"/>
      </w:pPr>
      <w:r>
        <w:rPr>
          <w:rStyle w:val="CharStyle10"/>
          <w:lang w:val="en-US" w:eastAsia="en-US"/>
        </w:rPr>
        <w:t xml:space="preserve">,5 </w:t>
      </w:r>
      <w:r>
        <w:rPr>
          <w:rStyle w:val="CharStyle10"/>
        </w:rPr>
        <w:t xml:space="preserve">млн. рублей </w:t>
      </w:r>
      <w:r>
        <w:rPr>
          <w:rStyle w:val="CharStyle10"/>
          <w:lang w:val="en-US" w:eastAsia="en-US"/>
        </w:rPr>
        <w:t xml:space="preserve">- </w:t>
      </w:r>
      <w:r>
        <w:rPr>
          <w:rStyle w:val="CharStyle10"/>
        </w:rPr>
        <w:t xml:space="preserve">для заказчиков, у которых объем денежных средств, направленных на закупку медицинских изделий в предшествующем году, составил более </w:t>
      </w:r>
      <w:r>
        <w:rPr>
          <w:rStyle w:val="CharStyle10"/>
          <w:lang w:val="en-US" w:eastAsia="en-US"/>
        </w:rPr>
        <w:t xml:space="preserve">100 </w:t>
      </w:r>
      <w:r>
        <w:rPr>
          <w:rStyle w:val="CharStyle10"/>
        </w:rPr>
        <w:t>млн. рублей.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этом п.2 Постановления </w:t>
      </w:r>
      <w:r>
        <w:rPr>
          <w:rStyle w:val="CharStyle10"/>
          <w:lang w:val="en-US" w:eastAsia="en-US"/>
        </w:rPr>
        <w:t xml:space="preserve">№620 </w:t>
      </w:r>
      <w:r>
        <w:rPr>
          <w:rStyle w:val="CharStyle10"/>
        </w:rPr>
        <w:t xml:space="preserve">установлено, что указанное в п.1 Постановления </w:t>
      </w:r>
      <w:r>
        <w:rPr>
          <w:rStyle w:val="CharStyle10"/>
          <w:lang w:val="en-US" w:eastAsia="en-US"/>
        </w:rPr>
        <w:t xml:space="preserve">№620 </w:t>
      </w:r>
      <w:r>
        <w:rPr>
          <w:rStyle w:val="CharStyle10"/>
        </w:rPr>
        <w:t>требование не применяется: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закупках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закупках медицинских изделий, объединенных в один лот (контракт) с расходными материалами, которые совместимы с такими медицинскими изделиями;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закупках медицинских изделий, по результатам которых заключается контракт со встречными инвестиционными обязательствами в соответствии со статьей </w:t>
      </w:r>
      <w:r>
        <w:rPr>
          <w:rStyle w:val="CharStyle10"/>
          <w:lang w:val="en-US" w:eastAsia="en-US"/>
        </w:rPr>
        <w:t xml:space="preserve">111.4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Комиссией Управления установлено, согласно извещению о проведении аукциона, начальная (максимальная) цена контракта составляет </w:t>
      </w:r>
      <w:r>
        <w:rPr>
          <w:rStyle w:val="CharStyle10"/>
          <w:lang w:val="en-US" w:eastAsia="en-US"/>
        </w:rPr>
        <w:t xml:space="preserve">4 563 094,10 </w:t>
      </w:r>
      <w:r>
        <w:rPr>
          <w:rStyle w:val="CharStyle10"/>
        </w:rPr>
        <w:t>руб.</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Согласно Приложению </w:t>
      </w:r>
      <w:r>
        <w:rPr>
          <w:rStyle w:val="CharStyle10"/>
          <w:lang w:val="en-US" w:eastAsia="en-US"/>
        </w:rPr>
        <w:t xml:space="preserve">№ 1 </w:t>
      </w:r>
      <w:r>
        <w:rPr>
          <w:rStyle w:val="CharStyle10"/>
        </w:rPr>
        <w:t xml:space="preserve">к приказу Министерства здравоохранения Российской Федерации от </w:t>
      </w:r>
      <w:r>
        <w:rPr>
          <w:rStyle w:val="CharStyle10"/>
          <w:lang w:val="en-US" w:eastAsia="en-US"/>
        </w:rPr>
        <w:t xml:space="preserve">6 </w:t>
      </w:r>
      <w:r>
        <w:rPr>
          <w:rStyle w:val="CharStyle10"/>
        </w:rPr>
        <w:t xml:space="preserve">июня </w:t>
      </w:r>
      <w:r>
        <w:rPr>
          <w:rStyle w:val="CharStyle10"/>
          <w:lang w:val="en-US" w:eastAsia="en-US"/>
        </w:rPr>
        <w:t xml:space="preserve">2012 </w:t>
      </w:r>
      <w:r>
        <w:rPr>
          <w:rStyle w:val="CharStyle10"/>
        </w:rPr>
        <w:t xml:space="preserve">года </w:t>
      </w:r>
      <w:r>
        <w:rPr>
          <w:rStyle w:val="CharStyle10"/>
          <w:lang w:val="en-US" w:eastAsia="en-US"/>
        </w:rPr>
        <w:t xml:space="preserve">№ </w:t>
      </w:r>
      <w:r>
        <w:rPr>
          <w:rStyle w:val="CharStyle10"/>
        </w:rPr>
        <w:t xml:space="preserve">4н «Об утверждении номенклатурной классификации медицинских изделий» (далее </w:t>
      </w:r>
      <w:r>
        <w:rPr>
          <w:rStyle w:val="CharStyle10"/>
          <w:lang w:val="en-US" w:eastAsia="en-US"/>
        </w:rPr>
        <w:t xml:space="preserve">- </w:t>
      </w:r>
      <w:r>
        <w:rPr>
          <w:rStyle w:val="CharStyle10"/>
        </w:rPr>
        <w:t xml:space="preserve">Номенклатурная классификация) номенклатурная классификация медицинских изделий по видам (далее </w:t>
      </w:r>
      <w:r>
        <w:rPr>
          <w:rStyle w:val="CharStyle10"/>
          <w:lang w:val="en-US" w:eastAsia="en-US"/>
        </w:rPr>
        <w:t xml:space="preserve">- </w:t>
      </w:r>
      <w:r>
        <w:rPr>
          <w:rStyle w:val="CharStyle10"/>
        </w:rPr>
        <w:t xml:space="preserve">классификация) содержит числовое обозначение вида медицинского изделия </w:t>
      </w:r>
      <w:r>
        <w:rPr>
          <w:rStyle w:val="CharStyle10"/>
          <w:lang w:val="en-US" w:eastAsia="en-US"/>
        </w:rPr>
        <w:t xml:space="preserve">- </w:t>
      </w:r>
      <w:r>
        <w:rPr>
          <w:rStyle w:val="CharStyle10"/>
        </w:rPr>
        <w:t>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9"/>
        <w:keepNext w:val="0"/>
        <w:keepLines w:val="0"/>
        <w:widowControl w:val="0"/>
        <w:shd w:val="clear" w:color="auto" w:fill="auto"/>
        <w:bidi w:val="0"/>
        <w:spacing w:before="0" w:after="0" w:line="240" w:lineRule="auto"/>
        <w:ind w:left="0" w:right="0" w:firstLine="700"/>
        <w:jc w:val="both"/>
      </w:pPr>
      <w:r>
        <w:rPr>
          <w:rStyle w:val="CharStyle10"/>
          <w:lang w:val="en-US" w:eastAsia="en-US"/>
        </w:rPr>
        <w:t xml:space="preserve">* </w:t>
      </w:r>
      <w:r>
        <w:rPr>
          <w:rStyle w:val="CharStyle10"/>
        </w:rPr>
        <w:t xml:space="preserve">Фиксируется начальное значение </w:t>
      </w:r>
      <w:r>
        <w:rPr>
          <w:rStyle w:val="CharStyle10"/>
          <w:lang w:val="en-US" w:eastAsia="en-US"/>
        </w:rPr>
        <w:t xml:space="preserve">100000 </w:t>
      </w:r>
      <w:r>
        <w:rPr>
          <w:rStyle w:val="CharStyle10"/>
        </w:rPr>
        <w:t xml:space="preserve">и для каждой последующей записи значение увеличивается на </w:t>
      </w:r>
      <w:r>
        <w:rPr>
          <w:rStyle w:val="CharStyle10"/>
          <w:lang w:val="en-US" w:eastAsia="en-US"/>
        </w:rPr>
        <w:t>10.</w:t>
      </w:r>
    </w:p>
    <w:p>
      <w:pPr>
        <w:pStyle w:val="Style9"/>
        <w:keepNext w:val="0"/>
        <w:keepLines w:val="0"/>
        <w:widowControl w:val="0"/>
        <w:shd w:val="clear" w:color="auto" w:fill="auto"/>
        <w:bidi w:val="0"/>
        <w:spacing w:before="0" w:after="0" w:line="240" w:lineRule="auto"/>
        <w:ind w:left="0" w:right="0" w:firstLine="700"/>
        <w:jc w:val="both"/>
      </w:pPr>
      <w:r>
        <w:rPr>
          <w:rStyle w:val="CharStyle10"/>
        </w:rPr>
        <w:t>Алгоритм формирования, применяемый для ведения номенклатурной классификации медицинских изделий по видам, представлен на схеме:</w:t>
      </w:r>
    </w:p>
    <w:p>
      <w:pPr>
        <w:widowControl w:val="0"/>
        <w:jc w:val="center"/>
        <w:rPr>
          <w:sz w:val="2"/>
          <w:szCs w:val="2"/>
        </w:rPr>
      </w:pPr>
      <w:r>
        <w:drawing>
          <wp:inline>
            <wp:extent cx="5449570" cy="164592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a:stretch/>
                  </pic:blipFill>
                  <pic:spPr>
                    <a:xfrm>
                      <a:ext cx="5449570" cy="1645920"/>
                    </a:xfrm>
                    <a:prstGeom prst="rect"/>
                  </pic:spPr>
                </pic:pic>
              </a:graphicData>
            </a:graphic>
          </wp:inline>
        </w:drawing>
      </w:r>
    </w:p>
    <w:p>
      <w:pPr>
        <w:widowControl w:val="0"/>
        <w:spacing w:after="199" w:line="1" w:lineRule="exact"/>
      </w:pP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доводам жалобы в одну закупку неправомерно объединены следующие товары:</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п.1 «Лезвие микротома ИВД, одноразового использования» позиции КТРУ </w:t>
      </w:r>
      <w:r>
        <w:rPr>
          <w:rStyle w:val="CharStyle10"/>
          <w:lang w:val="en-US" w:eastAsia="en-US"/>
        </w:rPr>
        <w:t xml:space="preserve">32.50.13.190-00006965 </w:t>
      </w:r>
      <w:r>
        <w:rPr>
          <w:rStyle w:val="CharStyle10"/>
        </w:rPr>
        <w:t xml:space="preserve">и кода ОКПД2 </w:t>
      </w:r>
      <w:r>
        <w:rPr>
          <w:rStyle w:val="CharStyle10"/>
          <w:lang w:val="en-US" w:eastAsia="en-US"/>
        </w:rPr>
        <w:t xml:space="preserve">32.50.13.190, </w:t>
      </w:r>
      <w:r>
        <w:rPr>
          <w:rStyle w:val="CharStyle10"/>
        </w:rPr>
        <w:t xml:space="preserve">соответствующая коду вида номенклатурной классификации медицинских изделий </w:t>
      </w:r>
      <w:r>
        <w:rPr>
          <w:rStyle w:val="CharStyle10"/>
          <w:lang w:val="en-US" w:eastAsia="en-US"/>
        </w:rPr>
        <w:t>250320;</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п.2 «Кисточка с магнитом, длина ворса </w:t>
      </w:r>
      <w:r>
        <w:rPr>
          <w:rStyle w:val="CharStyle10"/>
          <w:lang w:val="en-US" w:eastAsia="en-US"/>
        </w:rPr>
        <w:t xml:space="preserve">35 </w:t>
      </w:r>
      <w:r>
        <w:rPr>
          <w:rStyle w:val="CharStyle10"/>
        </w:rPr>
        <w:t xml:space="preserve">мм, производства </w:t>
      </w:r>
      <w:r>
        <w:rPr>
          <w:rStyle w:val="CharStyle10"/>
          <w:lang w:val="en-US" w:eastAsia="en-US"/>
        </w:rPr>
        <w:t xml:space="preserve">Leica Biosystems» </w:t>
      </w:r>
      <w:r>
        <w:rPr>
          <w:rStyle w:val="CharStyle10"/>
        </w:rPr>
        <w:t xml:space="preserve">кода ОКПД2 </w:t>
      </w:r>
      <w:r>
        <w:rPr>
          <w:rStyle w:val="CharStyle10"/>
          <w:lang w:val="en-US" w:eastAsia="en-US"/>
        </w:rPr>
        <w:t>32.50.13.190;</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п.3 «Кисточка, тонкая, для сбора срезов, производства </w:t>
      </w:r>
      <w:r>
        <w:rPr>
          <w:rStyle w:val="CharStyle10"/>
          <w:lang w:val="en-US" w:eastAsia="en-US"/>
        </w:rPr>
        <w:t xml:space="preserve">Leica Biosystems» </w:t>
      </w:r>
      <w:r>
        <w:rPr>
          <w:rStyle w:val="CharStyle10"/>
        </w:rPr>
        <w:t xml:space="preserve">кода ОКПД2 </w:t>
      </w:r>
      <w:r>
        <w:rPr>
          <w:rStyle w:val="CharStyle10"/>
          <w:lang w:val="en-US" w:eastAsia="en-US"/>
        </w:rPr>
        <w:t>32.50.13.190.</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тем каким именно НКМИ обладают кисточки Заявителем с составе жалобы не указано.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отношении указанного довода жалобы представитель Заказчика пояснил, что объединенные в один лот товары (лезвие и кисточки) исполняют единую функцию </w:t>
      </w:r>
      <w:r>
        <w:rPr>
          <w:rStyle w:val="CharStyle10"/>
          <w:lang w:val="en-US" w:eastAsia="en-US"/>
        </w:rPr>
        <w:t xml:space="preserve">— </w:t>
      </w:r>
      <w:r>
        <w:rPr>
          <w:rStyle w:val="CharStyle10"/>
        </w:rPr>
        <w:t xml:space="preserve">используются в одном комплексе проводимых исследований микротомирование и криототомирование. При этом, заказчиком не допущено нарушение положений Постановления </w:t>
      </w:r>
      <w:r>
        <w:rPr>
          <w:rStyle w:val="CharStyle10"/>
          <w:lang w:val="en-US" w:eastAsia="en-US"/>
        </w:rPr>
        <w:t xml:space="preserve">№620, </w:t>
      </w:r>
      <w:r>
        <w:rPr>
          <w:rStyle w:val="CharStyle10"/>
        </w:rPr>
        <w:t>поскольку Заказчику не требуются к поставке кисточки, являющиеся медицинским изделием, в то время как данное постановление запрещает объединять в один лот исключительно медицинские изделия с различными НКМИ, чего в данном случае не допущено.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таких обстоятельствах Комиссия Управления приходит к выводу, что довод жалобы не находит своего подтверждения и является необоснованным.</w:t>
      </w:r>
    </w:p>
    <w:p>
      <w:pPr>
        <w:pStyle w:val="Style9"/>
        <w:keepNext w:val="0"/>
        <w:keepLines w:val="0"/>
        <w:widowControl w:val="0"/>
        <w:numPr>
          <w:ilvl w:val="0"/>
          <w:numId w:val="13"/>
        </w:numPr>
        <w:shd w:val="clear" w:color="auto" w:fill="auto"/>
        <w:tabs>
          <w:tab w:pos="1016" w:val="left"/>
        </w:tabs>
        <w:bidi w:val="0"/>
        <w:spacing w:before="0" w:after="0" w:line="240" w:lineRule="auto"/>
        <w:ind w:left="0" w:right="0" w:firstLine="700"/>
        <w:jc w:val="both"/>
      </w:pPr>
      <w:r>
        <w:rPr>
          <w:rStyle w:val="CharStyle10"/>
        </w:rPr>
        <w:t>.Кроме того, в составе жалобы Заявитель указывает на неправомерность включение в один лот лезвий и кисточек.</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определено, что согласно описанию объекта закупки к поставке Заказчику требуется следующие товары:</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 п.1 «Лезвие микротома ИВД, одноразового использования» позиции КТРУ </w:t>
      </w:r>
      <w:r>
        <w:rPr>
          <w:rStyle w:val="CharStyle10"/>
          <w:lang w:val="en-US" w:eastAsia="en-US"/>
        </w:rPr>
        <w:t xml:space="preserve">32.50.13.190-00006965 </w:t>
      </w:r>
      <w:r>
        <w:rPr>
          <w:rStyle w:val="CharStyle10"/>
        </w:rPr>
        <w:t xml:space="preserve">и кода ОКПД2 </w:t>
      </w:r>
      <w:r>
        <w:rPr>
          <w:rStyle w:val="CharStyle10"/>
          <w:lang w:val="en-US" w:eastAsia="en-US"/>
        </w:rPr>
        <w:t>32.50.13.190;</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 п.2 «Кисточка с магнитом, длина ворса </w:t>
      </w:r>
      <w:r>
        <w:rPr>
          <w:rStyle w:val="CharStyle10"/>
          <w:lang w:val="en-US" w:eastAsia="en-US"/>
        </w:rPr>
        <w:t xml:space="preserve">35 </w:t>
      </w:r>
      <w:r>
        <w:rPr>
          <w:rStyle w:val="CharStyle10"/>
        </w:rPr>
        <w:t xml:space="preserve">мм, производства </w:t>
      </w:r>
      <w:r>
        <w:rPr>
          <w:rStyle w:val="CharStyle10"/>
          <w:lang w:val="en-US" w:eastAsia="en-US"/>
        </w:rPr>
        <w:t xml:space="preserve">Leica Biosystems» </w:t>
      </w:r>
      <w:r>
        <w:rPr>
          <w:rStyle w:val="CharStyle10"/>
        </w:rPr>
        <w:t xml:space="preserve">кода ОКПД2 </w:t>
      </w:r>
      <w:r>
        <w:rPr>
          <w:rStyle w:val="CharStyle10"/>
          <w:lang w:val="en-US" w:eastAsia="en-US"/>
        </w:rPr>
        <w:t>32.50.13.190;</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 п.3 «Кисточка, тонкая, для сбора срезов, производства </w:t>
      </w:r>
      <w:r>
        <w:rPr>
          <w:rStyle w:val="CharStyle10"/>
          <w:lang w:val="en-US" w:eastAsia="en-US"/>
        </w:rPr>
        <w:t xml:space="preserve">Leica Biosystems» </w:t>
      </w:r>
      <w:r>
        <w:rPr>
          <w:rStyle w:val="CharStyle10"/>
        </w:rPr>
        <w:t xml:space="preserve">кода ОКПД2 </w:t>
      </w:r>
      <w:r>
        <w:rPr>
          <w:rStyle w:val="CharStyle10"/>
          <w:lang w:val="en-US" w:eastAsia="en-US"/>
        </w:rPr>
        <w:t>32.50.13.190.</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заседании Комиссии Управления представитель Заказчика пояснил, что объединенные в один лот товары (лезвие и кисточки) исполняют единую функцию </w:t>
      </w:r>
      <w:r>
        <w:rPr>
          <w:rStyle w:val="CharStyle10"/>
          <w:lang w:val="en-US" w:eastAsia="en-US"/>
        </w:rPr>
        <w:t xml:space="preserve">— </w:t>
      </w:r>
      <w:r>
        <w:rPr>
          <w:rStyle w:val="CharStyle10"/>
        </w:rPr>
        <w:t>используются в одном комплексе проводимых исследований микротомирование и криототомирование.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Однако Комиссия Управления полагает, что при формировании описания объекта закупки Заказчиком не учтено нижеследующее.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Согласно ч.1 ст.38 Федерального закона от </w:t>
      </w:r>
      <w:r>
        <w:rPr>
          <w:rStyle w:val="CharStyle10"/>
          <w:lang w:val="en-US" w:eastAsia="en-US"/>
        </w:rPr>
        <w:t xml:space="preserve">21.11.2011 </w:t>
      </w:r>
      <w:r>
        <w:rPr>
          <w:rStyle w:val="CharStyle10"/>
        </w:rPr>
        <w:t xml:space="preserve">г. </w:t>
      </w:r>
      <w:r>
        <w:rPr>
          <w:rStyle w:val="CharStyle10"/>
          <w:lang w:val="en-US" w:eastAsia="en-US"/>
        </w:rPr>
        <w:t xml:space="preserve">№ </w:t>
      </w:r>
      <w:r>
        <w:rPr>
          <w:rStyle w:val="CharStyle10"/>
        </w:rPr>
        <w:t>323-ФЗ «Об основах</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охраны здоровья граждан в Российской Федерации» (далее </w:t>
      </w:r>
      <w:r>
        <w:rPr>
          <w:rStyle w:val="CharStyle10"/>
          <w:lang w:val="en-US" w:eastAsia="en-US"/>
        </w:rPr>
        <w:t xml:space="preserve">— </w:t>
      </w:r>
      <w:r>
        <w:rPr>
          <w:rStyle w:val="CharStyle10"/>
        </w:rPr>
        <w:t>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ч.4 ст.38 Закона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П.2 Правил государственной регистрации медицинских изделий, утвержденных Постановлением Правительства РФ от </w:t>
      </w:r>
      <w:r>
        <w:rPr>
          <w:rStyle w:val="CharStyle10"/>
          <w:lang w:val="en-US" w:eastAsia="en-US"/>
        </w:rPr>
        <w:t xml:space="preserve">30.11.2024 № 1684, </w:t>
      </w:r>
      <w:r>
        <w:rPr>
          <w:rStyle w:val="CharStyle10"/>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С учетом 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Учитывая пояснения Заказчика, к поставке требуются медицинские изделия (лезвия) и немедицинские изделия (кисточки).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тем в пп.7 п.12 Информационной карты извещения отражены требования к содержанию, составу заявки о предоставлении копий регистрационных удостоверений закупаемых товаров. Аналогичным образом в проекте контракта отражены требования о необходимости предоставления копий регистрационных удостоверений при поставке товаров.</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Следовательно, при подобном объединении комиссия Заказчика будет обязана отклонить заявку не содержащую регистрационное удостоверение на кисточки, не смотря на то, что Заказчиком не предполагались к закупке кисточки, являющиеся медицинским изделием (зарегистрированные в установленном порядке, обладающие НКМИ и т.д.)., ввиду чего, объединение в одну закупку товаров различных товарных рынков (медицинских и немедицинских изделий) изначально неправомерно и может повлечь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о нарушении Заказчиком п.1 ч.1 ст.33 Закона о контрактной системе, что также свидетельствует о наличии в действиях Заказчика признаков состава административного</w:t>
      </w:r>
      <w:r>
        <w:br w:type="page"/>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правонарушения, ответственность за которое предусмотрена ч. </w:t>
      </w:r>
      <w:r>
        <w:rPr>
          <w:rStyle w:val="CharStyle10"/>
          <w:lang w:val="en-US" w:eastAsia="en-US"/>
        </w:rPr>
        <w:t xml:space="preserve">5 </w:t>
      </w:r>
      <w:r>
        <w:rPr>
          <w:rStyle w:val="CharStyle10"/>
        </w:rPr>
        <w:t xml:space="preserve">ст. </w:t>
      </w:r>
      <w:r>
        <w:rPr>
          <w:rStyle w:val="CharStyle10"/>
          <w:lang w:val="en-US" w:eastAsia="en-US"/>
        </w:rPr>
        <w:t xml:space="preserve">7.30.1 </w:t>
      </w:r>
      <w:r>
        <w:rPr>
          <w:rStyle w:val="CharStyle10"/>
        </w:rPr>
        <w:t>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500" w:line="240" w:lineRule="auto"/>
        <w:ind w:left="0" w:right="0" w:firstLine="700"/>
        <w:jc w:val="both"/>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line="240" w:lineRule="auto"/>
        <w:ind w:left="0" w:right="0" w:firstLine="0"/>
        <w:jc w:val="center"/>
      </w:pPr>
      <w:r>
        <w:rPr>
          <w:rStyle w:val="CharStyle10"/>
          <w:b/>
          <w:bCs/>
        </w:rPr>
        <w:t>РЕШИЛА</w:t>
      </w:r>
    </w:p>
    <w:p>
      <w:pPr>
        <w:pStyle w:val="Style9"/>
        <w:keepNext w:val="0"/>
        <w:keepLines w:val="0"/>
        <w:widowControl w:val="0"/>
        <w:numPr>
          <w:ilvl w:val="0"/>
          <w:numId w:val="15"/>
        </w:numPr>
        <w:shd w:val="clear" w:color="auto" w:fill="auto"/>
        <w:tabs>
          <w:tab w:pos="1536" w:val="left"/>
        </w:tabs>
        <w:bidi w:val="0"/>
        <w:spacing w:before="0" w:after="0" w:line="240" w:lineRule="auto"/>
        <w:ind w:left="0" w:right="0" w:firstLine="700"/>
        <w:jc w:val="both"/>
      </w:pPr>
      <w:r>
        <w:rPr>
          <w:rStyle w:val="CharStyle10"/>
        </w:rPr>
        <w:t>Признать жалобу ООО «ОТАЛ» на действия ГБУЗ «ГКБ им. М.П. Кончаловского ДЗМ» обоснованной в части неправомерного формирования описания объекта закупки.</w:t>
      </w:r>
    </w:p>
    <w:p>
      <w:pPr>
        <w:pStyle w:val="Style9"/>
        <w:keepNext w:val="0"/>
        <w:keepLines w:val="0"/>
        <w:widowControl w:val="0"/>
        <w:numPr>
          <w:ilvl w:val="0"/>
          <w:numId w:val="15"/>
        </w:numPr>
        <w:shd w:val="clear" w:color="auto" w:fill="auto"/>
        <w:tabs>
          <w:tab w:pos="1536" w:val="left"/>
        </w:tabs>
        <w:bidi w:val="0"/>
        <w:spacing w:before="0" w:after="0" w:line="240" w:lineRule="auto"/>
        <w:ind w:left="0" w:right="0" w:firstLine="700"/>
        <w:jc w:val="both"/>
      </w:pPr>
      <w:r>
        <w:rPr>
          <w:rStyle w:val="CharStyle10"/>
        </w:rPr>
        <w:t>Признать в действиях Заказчика нарушения ч.6 ст.23, п.1 ч.1 ст.33 Закона о контрактной системе.</w:t>
      </w:r>
    </w:p>
    <w:p>
      <w:pPr>
        <w:pStyle w:val="Style9"/>
        <w:keepNext w:val="0"/>
        <w:keepLines w:val="0"/>
        <w:widowControl w:val="0"/>
        <w:numPr>
          <w:ilvl w:val="0"/>
          <w:numId w:val="15"/>
        </w:numPr>
        <w:shd w:val="clear" w:color="auto" w:fill="auto"/>
        <w:tabs>
          <w:tab w:pos="1536" w:val="left"/>
        </w:tabs>
        <w:bidi w:val="0"/>
        <w:spacing w:before="0" w:after="0" w:line="240" w:lineRule="auto"/>
        <w:ind w:left="0" w:right="0" w:firstLine="700"/>
        <w:jc w:val="both"/>
      </w:pPr>
      <w:r>
        <w:rPr>
          <w:rStyle w:val="CharStyle10"/>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5"/>
        </w:numPr>
        <w:shd w:val="clear" w:color="auto" w:fill="auto"/>
        <w:tabs>
          <w:tab w:pos="1536" w:val="left"/>
        </w:tabs>
        <w:bidi w:val="0"/>
        <w:spacing w:before="0" w:after="300" w:line="240" w:lineRule="auto"/>
        <w:ind w:left="0" w:right="0" w:firstLine="70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822" w:right="536" w:bottom="865" w:left="1101" w:header="0" w:footer="3" w:gutter="0"/>
          <w:cols w:space="720"/>
          <w:noEndnote/>
          <w:rtlGutter w:val="0"/>
          <w:docGrid w:linePitch="360"/>
        </w:sectPr>
      </w:pPr>
      <w:r>
        <mc:AlternateContent>
          <mc:Choice Requires="wps">
            <w:drawing>
              <wp:anchor distT="330200" distB="167640" distL="0" distR="0" simplePos="0" relativeHeight="125829378" behindDoc="0" locked="0" layoutInCell="1" allowOverlap="1">
                <wp:simplePos x="0" y="0"/>
                <wp:positionH relativeFrom="page">
                  <wp:posOffset>735965</wp:posOffset>
                </wp:positionH>
                <wp:positionV relativeFrom="paragraph">
                  <wp:posOffset>330200</wp:posOffset>
                </wp:positionV>
                <wp:extent cx="1844040" cy="252730"/>
                <wp:wrapTopAndBottom/>
                <wp:docPr id="21" name="Shape 21"/>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7.950000000000003pt;margin-top:26.pt;width:145.20000000000002pt;height:19.900000000000002pt;z-index:-125829375;mso-wrap-distance-left:0;mso-wrap-distance-top:26.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mc:AlternateContent>
          <mc:Choice Requires="wps">
            <w:drawing>
              <wp:anchor distT="491490" distB="0" distL="0" distR="0" simplePos="0" relativeHeight="125829380" behindDoc="0" locked="0" layoutInCell="1" allowOverlap="1">
                <wp:simplePos x="0" y="0"/>
                <wp:positionH relativeFrom="page">
                  <wp:posOffset>3524885</wp:posOffset>
                </wp:positionH>
                <wp:positionV relativeFrom="paragraph">
                  <wp:posOffset>491490</wp:posOffset>
                </wp:positionV>
                <wp:extent cx="1722120" cy="259080"/>
                <wp:wrapTopAndBottom/>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38.700000000000003pt;width:135.59999999999999pt;height:20.400000000000002pt;z-index:-125829373;mso-wrap-distance-left:0;mso-wrap-distance-top:38.700000000000003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30200" distB="167640" distL="0" distR="0" simplePos="0" relativeHeight="125829382" behindDoc="0" locked="0" layoutInCell="1" allowOverlap="1">
                <wp:simplePos x="0" y="0"/>
                <wp:positionH relativeFrom="page">
                  <wp:posOffset>6078855</wp:posOffset>
                </wp:positionH>
                <wp:positionV relativeFrom="paragraph">
                  <wp:posOffset>330200</wp:posOffset>
                </wp:positionV>
                <wp:extent cx="1136650" cy="252730"/>
                <wp:wrapTopAndBottom/>
                <wp:docPr id="25" name="Shape 25"/>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wps:txbx>
                      <wps:bodyPr wrap="none" lIns="0" tIns="0" rIns="0" bIns="0">
                        <a:noAutoFit/>
                      </wps:bodyPr>
                    </wps:wsp>
                  </a:graphicData>
                </a:graphic>
              </wp:anchor>
            </w:drawing>
          </mc:Choice>
          <mc:Fallback>
            <w:pict>
              <v:shape id="_x0000_s1051" type="#_x0000_t202" style="position:absolute;margin-left:478.65000000000003pt;margin-top:26.pt;width:89.5pt;height:19.900000000000002pt;z-index:-125829371;mso-wrap-distance-left:0;mso-wrap-distance-top:26.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v:textbox>
                <w10:wrap type="topAndBottom" anchorx="page"/>
              </v:shape>
            </w:pict>
          </mc:Fallback>
        </mc:AlternateContent>
      </w: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46" w:right="0" w:bottom="1249"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92929"/>
        </w:rPr>
        <w:t xml:space="preserve">Сертификат № </w:t>
      </w:r>
      <w:r>
        <w:rPr>
          <w:rStyle w:val="CharStyle20"/>
          <w:color w:val="565656"/>
        </w:rPr>
        <w:t>00831</w:t>
      </w:r>
      <w:r>
        <w:rPr>
          <w:rStyle w:val="CharStyle20"/>
          <w:lang w:val="en-US" w:eastAsia="en-US"/>
        </w:rPr>
        <w:t>B7545C61281C4BAB156778A683BFB</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w:t>
      </w:r>
      <w:r>
        <w:rPr>
          <w:rStyle w:val="CharStyle20"/>
          <w:color w:val="292929"/>
        </w:rPr>
        <w:t xml:space="preserve">17.07.2025 </w:t>
      </w:r>
      <w:r>
        <w:rPr>
          <w:rStyle w:val="CharStyle20"/>
          <w:color w:val="565656"/>
        </w:rPr>
        <w:t xml:space="preserve">по </w:t>
      </w:r>
      <w:r>
        <w:rPr>
          <w:rStyle w:val="CharStyle20"/>
        </w:rPr>
        <w:t>10.10.2026</w:t>
      </w:r>
    </w:p>
    <w:p>
      <w:pPr>
        <w:pStyle w:val="Style9"/>
        <w:keepNext w:val="0"/>
        <w:keepLines w:val="0"/>
        <w:widowControl w:val="0"/>
        <w:shd w:val="clear" w:color="auto" w:fill="auto"/>
        <w:bidi w:val="0"/>
        <w:spacing w:before="0" w:after="0" w:line="240" w:lineRule="auto"/>
        <w:ind w:left="0" w:right="0" w:firstLine="0"/>
        <w:jc w:val="left"/>
      </w:pPr>
      <w:r>
        <w:rPr>
          <w:rStyle w:val="CharStyle10"/>
        </w:rPr>
        <w:t>Члены Комиссии</w:t>
      </w:r>
    </w:p>
    <w:p>
      <w:pPr>
        <w:widowControl w:val="0"/>
        <w:spacing w:line="1" w:lineRule="exact"/>
        <w:sectPr>
          <w:footnotePr>
            <w:pos w:val="pageBottom"/>
            <w:numFmt w:val="decimal"/>
            <w:numRestart w:val="continuous"/>
          </w:footnotePr>
          <w:type w:val="continuous"/>
          <w:pgSz w:w="11900" w:h="16840"/>
          <w:pgMar w:top="846" w:right="532" w:bottom="1249" w:left="1106" w:header="0" w:footer="3" w:gutter="0"/>
          <w:cols w:space="720"/>
          <w:noEndnote/>
          <w:rtlGutter w:val="0"/>
          <w:docGrid w:linePitch="360"/>
        </w:sectPr>
      </w:pPr>
      <w:r>
        <mc:AlternateContent>
          <mc:Choice Requires="wps">
            <w:drawing>
              <wp:anchor distT="161290" distB="0" distL="0" distR="0" simplePos="0" relativeHeight="125829384" behindDoc="0" locked="0" layoutInCell="1" allowOverlap="1">
                <wp:simplePos x="0" y="0"/>
                <wp:positionH relativeFrom="page">
                  <wp:posOffset>3524885</wp:posOffset>
                </wp:positionH>
                <wp:positionV relativeFrom="paragraph">
                  <wp:posOffset>161290</wp:posOffset>
                </wp:positionV>
                <wp:extent cx="1722120" cy="259080"/>
                <wp:wrapTopAndBottom/>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5000000000001pt;margin-top:12.700000000000001pt;width:135.59999999999999pt;height:20.400000000000002pt;z-index:-125829369;mso-wrap-distance-left:0;mso-wrap-distance-top:12.700000000000001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70180" distL="0" distR="0" simplePos="0" relativeHeight="125829386" behindDoc="0" locked="0" layoutInCell="1" allowOverlap="1">
                <wp:simplePos x="0" y="0"/>
                <wp:positionH relativeFrom="page">
                  <wp:posOffset>5871845</wp:posOffset>
                </wp:positionH>
                <wp:positionV relativeFrom="paragraph">
                  <wp:posOffset>0</wp:posOffset>
                </wp:positionV>
                <wp:extent cx="1341120" cy="250190"/>
                <wp:wrapTopAndBottom/>
                <wp:docPr id="29" name="Shape 29"/>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Матюшенко</w:t>
                            </w:r>
                          </w:p>
                        </w:txbxContent>
                      </wps:txbx>
                      <wps:bodyPr wrap="none" lIns="0" tIns="0" rIns="0" bIns="0">
                        <a:noAutoFit/>
                      </wps:bodyPr>
                    </wps:wsp>
                  </a:graphicData>
                </a:graphic>
              </wp:anchor>
            </w:drawing>
          </mc:Choice>
          <mc:Fallback>
            <w:pict>
              <v:shape id="_x0000_s1055" type="#_x0000_t202" style="position:absolute;margin-left:462.35000000000002pt;margin-top:0;width:105.60000000000001pt;height:19.699999999999999pt;z-index:-125829367;mso-wrap-distance-left:0;mso-wrap-distance-right:0;mso-wrap-distance-bottom:13.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Матюшенко</w:t>
                      </w:r>
                    </w:p>
                  </w:txbxContent>
                </v:textbox>
                <w10:wrap type="topAndBottom" anchorx="page"/>
              </v:shape>
            </w:pict>
          </mc:Fallback>
        </mc:AlternateContent>
      </w:r>
    </w:p>
    <w:p>
      <w:pPr>
        <w:widowControl w:val="0"/>
        <w:spacing w:line="178" w:lineRule="exact"/>
        <w:rPr>
          <w:sz w:val="14"/>
          <w:szCs w:val="14"/>
        </w:rPr>
      </w:pPr>
    </w:p>
    <w:p>
      <w:pPr>
        <w:widowControl w:val="0"/>
        <w:spacing w:line="1" w:lineRule="exact"/>
        <w:sectPr>
          <w:footnotePr>
            <w:pos w:val="pageBottom"/>
            <w:numFmt w:val="decimal"/>
            <w:numRestart w:val="continuous"/>
          </w:footnotePr>
          <w:type w:val="continuous"/>
          <w:pgSz w:w="11900" w:h="16840"/>
          <w:pgMar w:top="846" w:right="0" w:bottom="1249" w:left="0" w:header="0" w:footer="3" w:gutter="0"/>
          <w:cols w:space="720"/>
          <w:noEndnote/>
          <w:rtlGutter w:val="0"/>
          <w:docGrid w:linePitch="360"/>
        </w:sectPr>
      </w:pP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0" w:line="266" w:lineRule="auto"/>
        <w:ind w:right="0" w:firstLine="0"/>
        <w:jc w:val="both"/>
      </w:pPr>
      <w:r>
        <w:rPr>
          <w:rStyle w:val="CharStyle20"/>
        </w:rPr>
        <w:t xml:space="preserve">Действителен с 22.07.2025 </w:t>
      </w:r>
      <w:r>
        <w:rPr>
          <w:rStyle w:val="CharStyle20"/>
          <w:color w:val="565656"/>
        </w:rPr>
        <w:t xml:space="preserve">по </w:t>
      </w:r>
      <w:r>
        <w:rPr>
          <w:rStyle w:val="CharStyle20"/>
        </w:rPr>
        <w:t>15.10.2026</w:t>
      </w:r>
    </w:p>
    <w:p>
      <w:pPr>
        <w:widowControl w:val="0"/>
        <w:spacing w:line="1" w:lineRule="exact"/>
        <w:sectPr>
          <w:footnotePr>
            <w:pos w:val="pageBottom"/>
            <w:numFmt w:val="decimal"/>
            <w:numRestart w:val="continuous"/>
          </w:footnotePr>
          <w:type w:val="continuous"/>
          <w:pgSz w:w="11900" w:h="16840"/>
          <w:pgMar w:top="846" w:right="532" w:bottom="1249" w:left="1106" w:header="0" w:footer="3" w:gutter="0"/>
          <w:cols w:space="720"/>
          <w:noEndnote/>
          <w:rtlGutter w:val="0"/>
          <w:docGrid w:linePitch="360"/>
        </w:sectPr>
      </w:pPr>
      <w:r>
        <mc:AlternateContent>
          <mc:Choice Requires="wps">
            <w:drawing>
              <wp:anchor distT="438150" distB="0" distL="0" distR="0" simplePos="0" relativeHeight="125829388" behindDoc="0" locked="0" layoutInCell="1" allowOverlap="1">
                <wp:simplePos x="0" y="0"/>
                <wp:positionH relativeFrom="page">
                  <wp:posOffset>3524885</wp:posOffset>
                </wp:positionH>
                <wp:positionV relativeFrom="paragraph">
                  <wp:posOffset>438150</wp:posOffset>
                </wp:positionV>
                <wp:extent cx="1722120" cy="259080"/>
                <wp:wrapTopAndBottom/>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5000000000001pt;margin-top:34.5pt;width:135.59999999999999pt;height:20.400000000000002pt;z-index:-125829365;mso-wrap-distance-left:0;mso-wrap-distance-top:34.5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0" behindDoc="0" locked="0" layoutInCell="1" allowOverlap="1">
                <wp:simplePos x="0" y="0"/>
                <wp:positionH relativeFrom="page">
                  <wp:posOffset>5975350</wp:posOffset>
                </wp:positionH>
                <wp:positionV relativeFrom="paragraph">
                  <wp:posOffset>279400</wp:posOffset>
                </wp:positionV>
                <wp:extent cx="1240790" cy="250190"/>
                <wp:wrapTopAndBottom/>
                <wp:docPr id="33" name="Shape 33"/>
                <a:graphic xmlns:a="http://schemas.openxmlformats.org/drawingml/2006/main">
                  <a:graphicData uri="http://schemas.microsoft.com/office/word/2010/wordprocessingShape">
                    <wps:wsp>
                      <wps:cNvSpPr txBox="1"/>
                      <wps:spPr>
                        <a:xfrm>
                          <a:ext cx="12407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М.В. Сорбучева</w:t>
                            </w:r>
                          </w:p>
                        </w:txbxContent>
                      </wps:txbx>
                      <wps:bodyPr wrap="none" lIns="0" tIns="0" rIns="0" bIns="0">
                        <a:noAutoFit/>
                      </wps:bodyPr>
                    </wps:wsp>
                  </a:graphicData>
                </a:graphic>
              </wp:anchor>
            </w:drawing>
          </mc:Choice>
          <mc:Fallback>
            <w:pict>
              <v:shape id="_x0000_s1059" type="#_x0000_t202" style="position:absolute;margin-left:470.5pt;margin-top:22.pt;width:97.700000000000003pt;height:19.699999999999999pt;z-index:-125829363;mso-wrap-distance-left:0;mso-wrap-distance-top:22.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М.В. Сорбучева</w:t>
                      </w:r>
                    </w:p>
                  </w:txbxContent>
                </v:textbox>
                <w10:wrap type="topAndBottom" anchorx="page"/>
              </v:shape>
            </w:pict>
          </mc:Fallback>
        </mc:AlternateContent>
      </w: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46" w:right="0" w:bottom="846"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w:t>
      </w:r>
      <w:r>
        <w:rPr>
          <w:rStyle w:val="CharStyle20"/>
          <w:color w:val="565656"/>
        </w:rPr>
        <w:t xml:space="preserve">выдан: </w:t>
      </w:r>
      <w:r>
        <w:rPr>
          <w:rStyle w:val="CharStyle20"/>
          <w:color w:val="000000"/>
        </w:rPr>
        <w:t>Сорбучева Мария Васильевна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00F3B71218F970424B4D41C7997434F304</w:t>
      </w:r>
    </w:p>
    <w:p>
      <w:pPr>
        <w:pStyle w:val="Style19"/>
        <w:keepNext w:val="0"/>
        <w:keepLines w:val="0"/>
        <w:widowControl w:val="0"/>
        <w:shd w:val="clear" w:color="auto" w:fill="auto"/>
        <w:bidi w:val="0"/>
        <w:spacing w:before="0" w:after="520" w:line="240" w:lineRule="auto"/>
        <w:ind w:right="0" w:firstLine="0"/>
        <w:jc w:val="left"/>
      </w:pPr>
      <w:r>
        <w:rPr>
          <w:rStyle w:val="CharStyle20"/>
        </w:rPr>
        <w:t xml:space="preserve">Действителен с 19.09.2024 </w:t>
      </w:r>
      <w:r>
        <w:rPr>
          <w:rStyle w:val="CharStyle20"/>
          <w:color w:val="565656"/>
        </w:rPr>
        <w:t>по 13.12.2025</w:t>
      </w:r>
    </w:p>
    <w:p>
      <w:pPr>
        <w:pStyle w:val="Style24"/>
        <w:keepNext w:val="0"/>
        <w:keepLines w:val="0"/>
        <w:widowControl w:val="0"/>
        <w:shd w:val="clear" w:color="auto" w:fill="auto"/>
        <w:bidi w:val="0"/>
        <w:spacing w:before="0" w:line="240" w:lineRule="auto"/>
        <w:ind w:left="0" w:right="0" w:firstLine="0"/>
        <w:jc w:val="left"/>
      </w:pPr>
      <w:r>
        <w:rPr>
          <w:rStyle w:val="CharStyle25"/>
        </w:rPr>
        <w:t>Исп.Сорбучева М.В. тел.8(495)784-75-05</w:t>
      </w:r>
    </w:p>
    <w:sectPr>
      <w:footnotePr>
        <w:pos w:val="pageBottom"/>
        <w:numFmt w:val="decimal"/>
        <w:numRestart w:val="continuous"/>
      </w:footnotePr>
      <w:type w:val="continuous"/>
      <w:pgSz w:w="11900" w:h="16840"/>
      <w:pgMar w:top="846" w:right="532" w:bottom="84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10214610</wp:posOffset>
              </wp:positionV>
              <wp:extent cx="722630" cy="106680"/>
              <wp:wrapNone/>
              <wp:docPr id="2" name="Shape 2"/>
              <a:graphic xmlns:a="http://schemas.openxmlformats.org/drawingml/2006/main">
                <a:graphicData uri="http://schemas.microsoft.com/office/word/2010/wordprocessingShape">
                  <wps:wsp>
                    <wps:cNvSpPr txBox="1"/>
                    <wps:spPr>
                      <a:xfrm>
                        <a:ext cx="72263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804.30000000000007pt;width:56.899999999999999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10214610</wp:posOffset>
              </wp:positionV>
              <wp:extent cx="722630" cy="106680"/>
              <wp:wrapNone/>
              <wp:docPr id="4" name="Shape 4"/>
              <a:graphic xmlns:a="http://schemas.openxmlformats.org/drawingml/2006/main">
                <a:graphicData uri="http://schemas.microsoft.com/office/word/2010/wordprocessingShape">
                  <wps:wsp>
                    <wps:cNvSpPr txBox="1"/>
                    <wps:spPr>
                      <a:xfrm>
                        <a:ext cx="72263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wps:txbx>
                    <wps:bodyPr wrap="none" lIns="0" tIns="0" rIns="0" bIns="0">
                      <a:spAutoFit/>
                    </wps:bodyPr>
                  </wps:wsp>
                </a:graphicData>
              </a:graphic>
            </wp:anchor>
          </w:drawing>
        </mc:Choice>
        <mc:Fallback>
          <w:pict>
            <v:shape id="_x0000_s1030" type="#_x0000_t202" style="position:absolute;margin-left:57.pt;margin-top:804.30000000000007pt;width:56.899999999999999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10284460</wp:posOffset>
              </wp:positionV>
              <wp:extent cx="725170" cy="103505"/>
              <wp:wrapNone/>
              <wp:docPr id="8" name="Shape 8"/>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wps:txbx>
                    <wps:bodyPr wrap="none" lIns="0" tIns="0" rIns="0" bIns="0">
                      <a:spAutoFit/>
                    </wps:bodyPr>
                  </wps:wsp>
                </a:graphicData>
              </a:graphic>
            </wp:anchor>
          </w:drawing>
        </mc:Choice>
        <mc:Fallback>
          <w:pict>
            <v:shape id="_x0000_s1034" type="#_x0000_t202" style="position:absolute;margin-left:57.pt;margin-top:809.80000000000007pt;width:57.10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723900</wp:posOffset>
              </wp:positionH>
              <wp:positionV relativeFrom="page">
                <wp:posOffset>10284460</wp:posOffset>
              </wp:positionV>
              <wp:extent cx="725170" cy="103505"/>
              <wp:wrapNone/>
              <wp:docPr id="15" name="Shape 15"/>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wps:txbx>
                    <wps:bodyPr wrap="none" lIns="0" tIns="0" rIns="0" bIns="0">
                      <a:spAutoFit/>
                    </wps:bodyPr>
                  </wps:wsp>
                </a:graphicData>
              </a:graphic>
            </wp:anchor>
          </w:drawing>
        </mc:Choice>
        <mc:Fallback>
          <w:pict>
            <v:shape id="_x0000_s1041" type="#_x0000_t202" style="position:absolute;margin-left:57.pt;margin-top:809.80000000000007pt;width:57.100000000000001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10284460</wp:posOffset>
              </wp:positionV>
              <wp:extent cx="725170" cy="103505"/>
              <wp:wrapNone/>
              <wp:docPr id="19" name="Shape 1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wps:txbx>
                    <wps:bodyPr wrap="none" lIns="0" tIns="0" rIns="0" bIns="0">
                      <a:spAutoFit/>
                    </wps:bodyPr>
                  </wps:wsp>
                </a:graphicData>
              </a:graphic>
            </wp:anchor>
          </w:drawing>
        </mc:Choice>
        <mc:Fallback>
          <w:pict>
            <v:shape id="_x0000_s1045" type="#_x0000_t202" style="position:absolute;margin-left:57.pt;margin-top:809.80000000000007pt;width:57.100000000000001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2025-41546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3881755</wp:posOffset>
              </wp:positionH>
              <wp:positionV relativeFrom="page">
                <wp:posOffset>274955</wp:posOffset>
              </wp:positionV>
              <wp:extent cx="128270" cy="69850"/>
              <wp:wrapNone/>
              <wp:docPr id="6" name="Shape 6"/>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2" type="#_x0000_t202" style="position:absolute;margin-left:305.65000000000003pt;margin-top:21.650000000000002pt;width:10.1pt;height:5.5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271780</wp:posOffset>
              </wp:positionV>
              <wp:extent cx="76200" cy="103505"/>
              <wp:wrapNone/>
              <wp:docPr id="10" name="Shape 10"/>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6" type="#_x0000_t202" style="position:absolute;margin-left:309.pt;margin-top:21.400000000000002pt;width:6.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3881755</wp:posOffset>
              </wp:positionH>
              <wp:positionV relativeFrom="page">
                <wp:posOffset>274955</wp:posOffset>
              </wp:positionV>
              <wp:extent cx="128270" cy="69850"/>
              <wp:wrapNone/>
              <wp:docPr id="13" name="Shape 13"/>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5.65000000000003pt;margin-top:21.650000000000002pt;width:10.1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3881755</wp:posOffset>
              </wp:positionH>
              <wp:positionV relativeFrom="page">
                <wp:posOffset>274955</wp:posOffset>
              </wp:positionV>
              <wp:extent cx="128270" cy="69850"/>
              <wp:wrapNone/>
              <wp:docPr id="17" name="Shape 17"/>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5.65000000000003pt;margin-top:21.650000000000002pt;width:10.1pt;height:5.5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Heading #1_"/>
    <w:basedOn w:val="DefaultParagraphFont"/>
    <w:link w:val="Style12"/>
    <w:rPr>
      <w:rFonts w:ascii="Arial" w:eastAsia="Arial" w:hAnsi="Arial" w:cs="Arial"/>
      <w:b w:val="0"/>
      <w:bCs w:val="0"/>
      <w:i w:val="0"/>
      <w:iCs w:val="0"/>
      <w:smallCaps w:val="0"/>
      <w:strike w:val="0"/>
      <w:sz w:val="32"/>
      <w:szCs w:val="32"/>
      <w:u w:val="none"/>
      <w:lang w:val="en-US" w:eastAsia="en-US"/>
    </w:rPr>
  </w:style>
  <w:style w:type="character" w:customStyle="1" w:styleId="CharStyle18">
    <w:name w:val="Body text (3)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14141"/>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4)"/>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Heading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7">
    <w:name w:val="Body text (3)"/>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 w:type="paragraph" w:customStyle="1" w:styleId="Style24">
    <w:name w:val="Body text (5)"/>
    <w:basedOn w:val="Normal"/>
    <w:link w:val="CharStyle25"/>
    <w:pPr>
      <w:widowControl w:val="0"/>
      <w:shd w:val="clear" w:color="auto" w:fill="auto"/>
      <w:spacing w:after="2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header" Target="header2.xml"/><Relationship Id="rId12" Type="http://schemas.openxmlformats.org/officeDocument/2006/relationships/footer" Target="footer4.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3.xml"/><Relationship Id="rId16" Type="http://schemas.openxmlformats.org/officeDocument/2006/relationships/footer" Target="footer5.xml"/><Relationship Id="rId17" Type="http://schemas.openxmlformats.org/officeDocument/2006/relationships/header" Target="header4.xml"/><Relationship Id="rId18" Type="http://schemas.openxmlformats.org/officeDocument/2006/relationships/footer" Target="footer6.xml"/></Relationships>
</file>