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3726180</wp:posOffset>
            </wp:positionH>
            <wp:positionV relativeFrom="paragraph">
              <wp:posOffset>12700</wp:posOffset>
            </wp:positionV>
            <wp:extent cx="524510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</w:t>
        <w:br/>
        <w:t>службы</w:t>
        <w:br/>
        <w:t>по Республике Адыгея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ул. Ленина, 40, г. Майкоп, 385000</w:t>
        <w:br/>
        <w:t>тел. (8772) 57-05-22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3"/>
          <w:lang w:val="en-US" w:eastAsia="en-US"/>
        </w:rPr>
        <w:t>to01@fas.gov.ru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970" w:val="left"/>
        </w:tabs>
        <w:bidi w:val="0"/>
        <w:spacing w:before="0" w:after="340" w:line="240" w:lineRule="auto"/>
        <w:ind w:left="0" w:right="0" w:firstLine="160"/>
        <w:jc w:val="both"/>
        <w:rPr>
          <w:sz w:val="30"/>
          <w:szCs w:val="30"/>
        </w:rPr>
      </w:pPr>
      <w:r>
        <w:rPr>
          <w:rStyle w:val="CharStyle11"/>
          <w:sz w:val="30"/>
          <w:szCs w:val="3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  <w:sz w:val="30"/>
          <w:szCs w:val="30"/>
        </w:rPr>
        <w:t>2.09.2025</w:t>
        <w:tab/>
      </w:r>
      <w:r>
        <w:fldChar w:fldCharType="end"/>
      </w:r>
      <w:r>
        <w:rPr>
          <w:rStyle w:val="CharStyle11"/>
          <w:sz w:val="30"/>
          <w:szCs w:val="30"/>
        </w:rPr>
        <w:t xml:space="preserve">№ </w:t>
      </w:r>
      <w:r>
        <w:rPr>
          <w:rStyle w:val="CharStyle11"/>
          <w:sz w:val="30"/>
          <w:szCs w:val="30"/>
          <w:u w:val="single"/>
        </w:rPr>
        <w:t>АЖ/2272/2</w:t>
      </w:r>
      <w:r>
        <w:rPr>
          <w:rStyle w:val="CharStyle11"/>
          <w:sz w:val="30"/>
          <w:szCs w:val="30"/>
        </w:rPr>
        <w:t>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19"/>
          <w:szCs w:val="19"/>
        </w:rPr>
      </w:pPr>
      <w:r>
        <w:rPr>
          <w:rStyle w:val="CharStyle15"/>
          <w:rFonts w:ascii="Times New Roman" w:eastAsia="Times New Roman" w:hAnsi="Times New Roman" w:cs="Times New Roman"/>
          <w:color w:val="46619A"/>
          <w:sz w:val="19"/>
          <w:szCs w:val="19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621280" cy="18288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2128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500"/>
        <w:jc w:val="left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МОНОПОЛИЕМ ПЭШ1УЕКЮРЭ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8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ФЕДЕРАЛЬНЭ КЪУЛЫКЪУР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Монополием пэш!уек1орэ</w:t>
        <w:br/>
        <w:t>Федеральнэ къулыкъум</w:t>
        <w:br/>
        <w:t>Адыгэ РеспублкэмкТэ 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Г ъэ1орыш1ап1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3"/>
        </w:rPr>
        <w:t>Лениным иур.. 40, къ. Мыекъуапэ, 385000</w:t>
        <w:br/>
        <w:t>тел./факс: (8772) 57-05-22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3"/>
          <w:lang w:val="en-US" w:eastAsia="en-US"/>
        </w:rPr>
        <w:t>to01@fas.gov.ru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ООО "ЮНИКОРН"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  <w:lang w:val="en-US" w:eastAsia="en-US"/>
        </w:rPr>
        <w:t xml:space="preserve">197046, </w:t>
      </w:r>
      <w:r>
        <w:rPr>
          <w:rStyle w:val="CharStyle11"/>
        </w:rPr>
        <w:t>Г.САНКТ-ПЕТЕРБУРГ, УЛ.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 xml:space="preserve">ЧАПАЕВА, Д. </w:t>
      </w:r>
      <w:r>
        <w:rPr>
          <w:rStyle w:val="CharStyle11"/>
          <w:lang w:val="en-US" w:eastAsia="en-US"/>
        </w:rPr>
        <w:t xml:space="preserve">25, </w:t>
      </w:r>
      <w:r>
        <w:rPr>
          <w:rStyle w:val="CharStyle11"/>
        </w:rPr>
        <w:t>ЛИТЕР Б, ПОМЕЩ.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 xml:space="preserve">33Н, ЧАСТЬ ПОМ. </w:t>
      </w:r>
      <w:r>
        <w:rPr>
          <w:rStyle w:val="CharStyle11"/>
          <w:lang w:val="en-US" w:eastAsia="en-US"/>
        </w:rPr>
        <w:t>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462" w:right="1088" w:bottom="1313" w:left="1111" w:header="0" w:footer="3" w:gutter="0"/>
          <w:pgNumType w:start="1"/>
          <w:cols w:num="2" w:space="283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"mailto:a9214370551@gmail.com" </w:instrText>
      </w:r>
      <w:r>
        <w:fldChar w:fldCharType="separate"/>
      </w:r>
      <w:r>
        <w:rPr>
          <w:rStyle w:val="CharStyle11"/>
          <w:lang w:val="en-US" w:eastAsia="en-US"/>
        </w:rPr>
        <w:t>a9214370551@gmail.com</w:t>
      </w:r>
      <w:r>
        <w:fldChar w:fldCharType="end"/>
      </w:r>
    </w:p>
    <w:p>
      <w:pPr>
        <w:widowControl w:val="0"/>
        <w:spacing w:line="132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0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20" w:right="0" w:firstLine="0"/>
        <w:jc w:val="left"/>
      </w:pPr>
      <w:r>
        <w:rPr>
          <w:rStyle w:val="CharStyle11"/>
        </w:rPr>
        <w:t xml:space="preserve">Управление в сфере закупок администрации муниципального образования «Город Майкоп» </w:t>
      </w:r>
      <w:r>
        <w:fldChar w:fldCharType="begin"/>
      </w:r>
      <w:r>
        <w:rPr/>
        <w:instrText> HYPERLINK "mailto:zakupki.maykop@mail.ru" </w:instrText>
      </w:r>
      <w:r>
        <w:fldChar w:fldCharType="separate"/>
      </w:r>
      <w:r>
        <w:rPr>
          <w:rStyle w:val="CharStyle11"/>
          <w:lang w:val="en-US" w:eastAsia="en-US"/>
        </w:rPr>
        <w:t>zakupki.maykop@mail.ru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5020" w:right="0" w:firstLine="0"/>
        <w:jc w:val="left"/>
      </w:pPr>
      <w:r>
        <w:rPr>
          <w:rStyle w:val="CharStyle11"/>
        </w:rPr>
        <w:t xml:space="preserve">МУП «Городской парк культуры и отдыха» МО «Город Майкоп» </w:t>
      </w:r>
      <w:r>
        <w:rPr>
          <w:rStyle w:val="CharStyle11"/>
          <w:lang w:val="en-US" w:eastAsia="en-US"/>
        </w:rPr>
        <w:t xml:space="preserve">385000, </w:t>
      </w:r>
      <w:r>
        <w:rPr>
          <w:rStyle w:val="CharStyle11"/>
        </w:rPr>
        <w:t xml:space="preserve">Республика Адыгея (Адыгея), г. Майкоп, ул. Пушкина, д. </w:t>
      </w:r>
      <w:r>
        <w:rPr>
          <w:rStyle w:val="CharStyle11"/>
          <w:lang w:val="en-US" w:eastAsia="en-US"/>
        </w:rPr>
        <w:t xml:space="preserve">181 </w:t>
      </w:r>
      <w:r>
        <w:fldChar w:fldCharType="begin"/>
      </w:r>
      <w:r>
        <w:rPr/>
        <w:instrText> HYPERLINK "mailto:gorodskoi.park@yandex.ru" </w:instrText>
      </w:r>
      <w:r>
        <w:fldChar w:fldCharType="separate"/>
      </w:r>
      <w:r>
        <w:rPr>
          <w:rStyle w:val="CharStyle11"/>
          <w:lang w:val="en-US" w:eastAsia="en-US"/>
        </w:rPr>
        <w:t>gorodskoi.park@yandex.ru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11"/>
        </w:rPr>
        <w:t>РЕШЕНИЕ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69" w:lineRule="auto"/>
        <w:ind w:left="0" w:right="0" w:firstLine="0"/>
        <w:jc w:val="center"/>
      </w:pPr>
      <w:r>
        <w:rPr>
          <w:rStyle w:val="CharStyle11"/>
        </w:rPr>
        <w:t xml:space="preserve">по делу </w:t>
      </w:r>
      <w:r>
        <w:rPr>
          <w:rStyle w:val="CharStyle11"/>
          <w:lang w:val="en-US" w:eastAsia="en-US"/>
        </w:rPr>
        <w:t xml:space="preserve">№001/06/33-388/2025 </w:t>
      </w:r>
      <w:r>
        <w:rPr>
          <w:rStyle w:val="CharStyle11"/>
        </w:rPr>
        <w:t>о результатах</w:t>
        <w:br/>
        <w:t>рассмотрения жалобы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6106795</wp:posOffset>
                </wp:positionH>
                <wp:positionV relativeFrom="paragraph">
                  <wp:posOffset>12700</wp:posOffset>
                </wp:positionV>
                <wp:extent cx="765175" cy="252730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517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г. Майкоп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80.85000000000002pt;margin-top:1.pt;width:60.25pt;height:19.900000000000002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г. Майкоп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  <w:lang w:val="en-US" w:eastAsia="en-US"/>
        </w:rPr>
        <w:t xml:space="preserve">12 </w:t>
      </w:r>
      <w:r>
        <w:rPr>
          <w:rStyle w:val="CharStyle11"/>
        </w:rPr>
        <w:t xml:space="preserve">сентября </w:t>
      </w:r>
      <w:r>
        <w:rPr>
          <w:rStyle w:val="CharStyle11"/>
          <w:lang w:val="en-US" w:eastAsia="en-US"/>
        </w:rPr>
        <w:t xml:space="preserve">2025 </w:t>
      </w:r>
      <w:r>
        <w:rPr>
          <w:rStyle w:val="CharStyle11"/>
        </w:rPr>
        <w:t>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 xml:space="preserve">Резолютивная часть оглашена: </w:t>
      </w:r>
      <w:r>
        <w:rPr>
          <w:rStyle w:val="CharStyle11"/>
          <w:lang w:val="en-US" w:eastAsia="en-US"/>
        </w:rPr>
        <w:t>11.09.2025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1"/>
        </w:rPr>
        <w:t xml:space="preserve">Решение в полном объеме изготовлено: </w:t>
      </w:r>
      <w:r>
        <w:rPr>
          <w:rStyle w:val="CharStyle11"/>
          <w:lang w:val="en-US" w:eastAsia="en-US"/>
        </w:rPr>
        <w:t>12.09.2025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69" w:lineRule="auto"/>
        <w:ind w:left="0" w:right="0" w:firstLine="720"/>
        <w:jc w:val="both"/>
      </w:pPr>
      <w:r>
        <w:rPr>
          <w:rStyle w:val="CharStyle11"/>
        </w:rPr>
        <w:t xml:space="preserve">Комиссия Управления Федеральной антимонопольной службы по Республике Адыгея по контролю в сфере закупок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Комиссия УФАС) в составе председателя Комиссии УФАС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Жукова А.Г., заместителя руководителя Управления; членов Комиссии УФАС: Керашевой С.М., главного специалиста-эксперта отдела контроля закупок; Клюкиной Н.А., главного специалиста-эксперта отдела контроля закупок, с участием представителей: Муниципального унитарного предприятия «Городской парк культуры и отдыха» муниципального образования «Город Майкоп»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Заказчик) Тришина А.А. (доверенность от </w:t>
      </w:r>
      <w:r>
        <w:rPr>
          <w:rStyle w:val="CharStyle11"/>
          <w:lang w:val="en-US" w:eastAsia="en-US"/>
        </w:rPr>
        <w:t xml:space="preserve">11.09.2025); </w:t>
      </w:r>
      <w:r>
        <w:rPr>
          <w:rStyle w:val="CharStyle11"/>
        </w:rPr>
        <w:t xml:space="preserve">Пшизовой С.А. (доверенность от </w:t>
      </w:r>
      <w:r>
        <w:rPr>
          <w:rStyle w:val="CharStyle11"/>
          <w:lang w:val="en-US" w:eastAsia="en-US"/>
        </w:rPr>
        <w:t xml:space="preserve">15.04.2025), </w:t>
      </w:r>
      <w:r>
        <w:rPr>
          <w:rStyle w:val="CharStyle11"/>
        </w:rPr>
        <w:t xml:space="preserve">Администрации муниципального образования «Город Майкоп»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Уполномоченный орган) Блягоз О.Ш. (доверенность №8-Д от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69" w:lineRule="auto"/>
        <w:ind w:left="0" w:right="0" w:firstLine="0"/>
        <w:jc w:val="both"/>
      </w:pPr>
      <w:r>
        <w:rPr>
          <w:rStyle w:val="CharStyle11"/>
          <w:lang w:val="en-US" w:eastAsia="en-US"/>
        </w:rPr>
        <w:t xml:space="preserve">10.01.2025), </w:t>
      </w:r>
      <w:r>
        <w:rPr>
          <w:rStyle w:val="CharStyle11"/>
        </w:rPr>
        <w:t xml:space="preserve">рассмотрев жалобу Общества с ограниченной ответственностью «ЮНИКОРН»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Заявитель) на положения извещения об осуществлении открытого конкурса в электронной форме на выполнение работ по изготовлению и установке скульптурных композиций «Девочка и белка» и «Белки» на территории МУП «Городской парк культуры и отдыха» (извещение </w:t>
      </w:r>
      <w:r>
        <w:rPr>
          <w:rStyle w:val="CharStyle11"/>
          <w:lang w:val="en-US" w:eastAsia="en-US"/>
        </w:rPr>
        <w:t xml:space="preserve">№0376300000125000290) </w:t>
      </w:r>
      <w:r>
        <w:rPr>
          <w:rStyle w:val="CharStyle11"/>
        </w:rPr>
        <w:t xml:space="preserve">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Конкурс), проведя внеплановую проверку на основании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15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05.04.2013 № </w:t>
      </w:r>
      <w:r>
        <w:rPr>
          <w:rStyle w:val="CharStyle11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Закон о контрактной системе),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1"/>
        </w:rPr>
        <w:t>УСТАНОВИЛА: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18"/>
        </w:rPr>
        <w:t xml:space="preserve">В Управление Федеральной антимонопольной службы по Республике Адыгея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Адыгейское УФАС России) </w:t>
      </w:r>
      <w:r>
        <w:rPr>
          <w:rStyle w:val="CharStyle18"/>
          <w:lang w:val="en-US" w:eastAsia="en-US"/>
        </w:rPr>
        <w:t xml:space="preserve">08.09.2025 </w:t>
      </w:r>
      <w:r>
        <w:rPr>
          <w:rStyle w:val="CharStyle18"/>
        </w:rPr>
        <w:t>поступила жалоба Заявителя, в которой указано, что в действиях Заказчика, содержатся следующие нарушения:</w:t>
      </w:r>
      <w:bookmarkEnd w:id="0"/>
    </w:p>
    <w:p>
      <w:pPr>
        <w:pStyle w:val="Style1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18"/>
        </w:rPr>
        <w:t>Заказчик не определил срок на подготовку эскиза скульптурных композиций, а сразу указал срок на изготовление макета (не более 3-х календарных дней с даты заключения Контракта);</w:t>
      </w:r>
      <w:bookmarkEnd w:id="2"/>
    </w:p>
    <w:p>
      <w:pPr>
        <w:pStyle w:val="Style1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/>
        <w:jc w:val="both"/>
      </w:pPr>
      <w:bookmarkStart w:id="4" w:name="bookmark4"/>
      <w:r>
        <w:rPr>
          <w:rStyle w:val="CharStyle18"/>
        </w:rPr>
        <w:t>В извещении отсутствуют примерные эскизы на скульптурную композицию «Белки»;</w:t>
      </w:r>
      <w:bookmarkEnd w:id="4"/>
    </w:p>
    <w:p>
      <w:pPr>
        <w:pStyle w:val="Style1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/>
        <w:jc w:val="both"/>
      </w:pPr>
      <w:bookmarkStart w:id="6" w:name="bookmark6"/>
      <w:r>
        <w:rPr>
          <w:rStyle w:val="CharStyle18"/>
        </w:rPr>
        <w:t>В описании скульптурной композиции «Девочка и белки» указана только высота, нет длины и ширины, а также не указан материал для изготовления плинта и размеры плинта; а в описании скульптурной композиции «Белки» не указаны ширина, длина, с какими дополнительными элементами и аксессуарами нужно изготовить скульптурную композицию.</w:t>
      </w:r>
      <w:bookmarkEnd w:id="6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8" w:name="bookmark8"/>
      <w:r>
        <w:rPr>
          <w:rStyle w:val="CharStyle18"/>
        </w:rPr>
        <w:t xml:space="preserve">Заявитель указывает на то, что без знания точных параметров и характеристик потенциальному участнику Конкурса невозможно рассчитать стоимость скульптурных композиций и решить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участвовать или не участвовать в данной закупке.</w:t>
      </w:r>
      <w:bookmarkEnd w:id="8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0" w:name="bookmark10"/>
      <w:r>
        <w:rPr>
          <w:rStyle w:val="CharStyle18"/>
        </w:rPr>
        <w:t xml:space="preserve">На основании изложенного Заявитель просит приостановить проведение Конкурса, признать жалобу обоснованной, признать уполномоченный орган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АМО «Город Майкоп» нарушившим требования Закона о контрактной системе, обязать ответственных должностных лиц устранить нарушения.</w:t>
      </w:r>
      <w:bookmarkEnd w:id="10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/>
        <w:jc w:val="both"/>
      </w:pPr>
      <w:bookmarkStart w:id="12" w:name="bookmark12"/>
      <w:r>
        <w:rPr>
          <w:rStyle w:val="CharStyle18"/>
        </w:rPr>
        <w:t xml:space="preserve">Заказчик направил в Адыгейское УФАС России письменное Возражение на жалобу (исх.№279 от </w:t>
      </w:r>
      <w:r>
        <w:rPr>
          <w:rStyle w:val="CharStyle18"/>
          <w:lang w:val="en-US" w:eastAsia="en-US"/>
        </w:rPr>
        <w:t xml:space="preserve">11.09.2025), </w:t>
      </w:r>
      <w:r>
        <w:rPr>
          <w:rStyle w:val="CharStyle18"/>
        </w:rPr>
        <w:t>в котором не согласился с доводами Заявителя и просил признать жалобу необоснованной.</w:t>
      </w:r>
      <w:bookmarkEnd w:id="1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результате рассмотрения жалобы и проведения внеплановой проверки Комиссия УФАС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Уполномоченным органом на официальном сайте единой информационной системы в сфере закупок </w:t>
      </w:r>
      <w:r>
        <w:rPr>
          <w:rStyle w:val="CharStyle11"/>
          <w:lang w:val="en-US" w:eastAsia="en-US"/>
        </w:rPr>
        <w:t>zakupki.gov.ru</w:t>
      </w:r>
      <w:r>
        <w:rPr>
          <w:rStyle w:val="CharStyle11"/>
          <w:lang w:val="en-US" w:eastAsia="en-US"/>
        </w:rPr>
        <w:t xml:space="preserve"> </w:t>
      </w:r>
      <w:r>
        <w:rPr>
          <w:rStyle w:val="CharStyle11"/>
        </w:rPr>
        <w:t xml:space="preserve">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ЕИС) </w:t>
      </w:r>
      <w:r>
        <w:rPr>
          <w:rStyle w:val="CharStyle11"/>
          <w:lang w:val="en-US" w:eastAsia="en-US"/>
        </w:rPr>
        <w:t xml:space="preserve">21.08.2025 </w:t>
      </w:r>
      <w:r>
        <w:rPr>
          <w:rStyle w:val="CharStyle11"/>
        </w:rPr>
        <w:t>размещено извещение о проведении Конкурса.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Начальная (максимальная) цена контракта </w:t>
      </w:r>
      <w:r>
        <w:rPr>
          <w:rStyle w:val="CharStyle11"/>
          <w:lang w:val="en-US" w:eastAsia="en-US"/>
        </w:rPr>
        <w:t xml:space="preserve">– 5 257 000,00 </w:t>
      </w:r>
      <w:r>
        <w:rPr>
          <w:rStyle w:val="CharStyle11"/>
        </w:rPr>
        <w:t>руб.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частью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48 </w:t>
      </w:r>
      <w:r>
        <w:rPr>
          <w:rStyle w:val="CharStyle11"/>
        </w:rPr>
        <w:t>Закона о контрактной системе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электронный конкурс начинается с размещения в ЕИС извещения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пункту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 xml:space="preserve">Закона о контрактной системе извещение об осуществлении закупки должно содержать описание объекта закупки в соответствии со статьей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Частью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Закона о контрактной системе установлено, что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описание объекта закупки </w:t>
      </w:r>
      <w:r>
        <w:rPr>
          <w:rStyle w:val="CharStyle11"/>
          <w:u w:val="single"/>
        </w:rPr>
        <w:t>может включать в себя</w:t>
      </w:r>
      <w:r>
        <w:rPr>
          <w:rStyle w:val="CharStyle11"/>
        </w:rPr>
        <w:t xml:space="preserve"> спецификации, планы, чертежи, </w:t>
      </w:r>
      <w:r>
        <w:rPr>
          <w:rStyle w:val="CharStyle11"/>
          <w:u w:val="single"/>
        </w:rPr>
        <w:t>эскизы</w:t>
      </w:r>
      <w:r>
        <w:rPr>
          <w:rStyle w:val="CharStyle11"/>
        </w:rPr>
        <w:t>, фотографии, результаты работы, тестирования, требования, в том числе в отношении проведения испытаний, методов испытаний, упаковки в соответствии с требованиями Гражданского кодекса Российской Федерации, маркировки, этикеток, подтверждения соответствия, процессов и методов производства в соответствии с требованиями технических регламентов, документов, разрабатываемых и применяемых в национальной системе стандартизации, технических условий, а также в отношении условных обозначений и терминологии;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Изучив информацию и документы, размещенные в ЕИС, Комиссия УФАС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отмечает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 xml:space="preserve">Объектом закупки является: </w:t>
      </w:r>
      <w:r>
        <w:rPr>
          <w:rStyle w:val="CharStyle11"/>
          <w:b/>
          <w:bCs/>
        </w:rPr>
        <w:t xml:space="preserve">Изготовление скульптурной композиции </w:t>
      </w:r>
      <w:r>
        <w:rPr>
          <w:rStyle w:val="CharStyle11"/>
        </w:rPr>
        <w:t xml:space="preserve">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СК) «Девочка и белка» и «Белки» (Код ОКПД2 </w:t>
      </w:r>
      <w:r>
        <w:rPr>
          <w:rStyle w:val="CharStyle11"/>
          <w:lang w:val="en-US" w:eastAsia="en-US"/>
        </w:rPr>
        <w:t xml:space="preserve">– 90.03.11.190 </w:t>
      </w:r>
      <w:r>
        <w:rPr>
          <w:rStyle w:val="CharStyle11"/>
        </w:rPr>
        <w:t>«Услуги, предоставляемые прочими авторами, за исключением артистов-исполнителей»).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>То есть, объектом закупки является создание двух композиций изобразительного искусства художником-скульптором, а не изготовление скульптур (отливка) по готовым моделям (макетам).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>Таким образом, при выполнении закупаемых работ автору композиций дается свобода творческого эксперимента, возможность показать себя как мастера, проявить художественный вкус, использовать свои навыки, особенности и приемы работы.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 xml:space="preserve">В пункте </w:t>
      </w:r>
      <w:r>
        <w:rPr>
          <w:rStyle w:val="CharStyle11"/>
          <w:lang w:val="en-US" w:eastAsia="en-US"/>
        </w:rPr>
        <w:t xml:space="preserve">5.2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№1 </w:t>
      </w:r>
      <w:r>
        <w:rPr>
          <w:rStyle w:val="CharStyle11"/>
        </w:rPr>
        <w:t xml:space="preserve">к Извещению «Описание объекта закупки»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ООЗ) Заказчик указал следующее: «</w:t>
      </w:r>
      <w:r>
        <w:rPr>
          <w:rStyle w:val="CharStyle11"/>
          <w:b/>
          <w:bCs/>
          <w:i/>
          <w:iCs/>
        </w:rPr>
        <w:t>Состав работ по созданию скульптурной композиции: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 xml:space="preserve">Лепка макета в масштабе </w:t>
      </w:r>
      <w:r>
        <w:rPr>
          <w:rStyle w:val="CharStyle11"/>
          <w:i/>
          <w:iCs/>
          <w:lang w:val="en-US" w:eastAsia="en-US"/>
        </w:rPr>
        <w:t xml:space="preserve">1:10 </w:t>
      </w:r>
      <w:r>
        <w:rPr>
          <w:rStyle w:val="CharStyle11"/>
          <w:i/>
          <w:iCs/>
        </w:rPr>
        <w:t>(для утверждения об общей композиции, пропорций, деталей);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87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>Мастер модель в натуральную величину (материал: пластилин/глина);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 xml:space="preserve">Формовка мастер модели. Макет композиции предоставляется в срок не более </w:t>
      </w:r>
      <w:r>
        <w:rPr>
          <w:rStyle w:val="CharStyle11"/>
          <w:i/>
          <w:iCs/>
          <w:lang w:val="en-US" w:eastAsia="en-US"/>
        </w:rPr>
        <w:t xml:space="preserve">3 </w:t>
      </w:r>
      <w:r>
        <w:rPr>
          <w:rStyle w:val="CharStyle11"/>
          <w:i/>
          <w:iCs/>
        </w:rPr>
        <w:t>календарных дней с даты заключения Контракта;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>Отливка изделия из бронзы, обработка, шлифовка, чеканка, финишная обработка поверхности, обработка защитными составами (тонировка), подготовка к монтажу;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  <w:i/>
          <w:iCs/>
        </w:rPr>
        <w:t>Транспортировка и монтаж изделия на месте (при помощи манипулятора, подъемника, подъемного крана или другой строительной техники) на подготовленной силами Заказчика площадке</w:t>
      </w:r>
      <w:r>
        <w:rPr>
          <w:rStyle w:val="CharStyle11"/>
        </w:rPr>
        <w:t>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>То есть, такой вид работ, как «создание эскизов» при выполнении закупаемых работ не предусмотрен.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 xml:space="preserve">В соответствии с пунктом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 xml:space="preserve">Закона о контрактной системе ООЗ </w:t>
      </w:r>
      <w:r>
        <w:rPr>
          <w:rStyle w:val="CharStyle11"/>
          <w:u w:val="single"/>
        </w:rPr>
        <w:t>может включать в себя</w:t>
      </w:r>
      <w:r>
        <w:rPr>
          <w:rStyle w:val="CharStyle11"/>
        </w:rPr>
        <w:t xml:space="preserve"> эскизы, то есть Закон о контрактной системе не обязывает Заказчика соблюдать это положение.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>Вместе с тем, как отмечает Заказчик в своем Возражении, «</w:t>
      </w:r>
      <w:r>
        <w:rPr>
          <w:rStyle w:val="CharStyle11"/>
          <w:i/>
          <w:iCs/>
        </w:rPr>
        <w:t>Заказчик полагает, что для профессионалов в сфере скульптурного творчества установленный выше обозначенный 3-хдневный срок, как для подготовки эскиза, так и макета, является достаточным и соответствует интересам Заказчика в рамках возникшей муниципальной нужды по объявлению оспариваемой конкурсной процедуры</w:t>
      </w:r>
      <w:r>
        <w:rPr>
          <w:rStyle w:val="CharStyle11"/>
        </w:rPr>
        <w:t>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 xml:space="preserve">На основании вышеизложенного, с учетом того, что Заявитель не предоставил доказательств обратного, Комиссия УФАС признает доводы жалобы Заявителя </w:t>
      </w:r>
      <w:r>
        <w:rPr>
          <w:rStyle w:val="CharStyle11"/>
          <w:lang w:val="en-US" w:eastAsia="en-US"/>
        </w:rPr>
        <w:t xml:space="preserve">№1 </w:t>
      </w:r>
      <w:r>
        <w:rPr>
          <w:rStyle w:val="CharStyle11"/>
        </w:rPr>
        <w:t xml:space="preserve">и </w:t>
      </w:r>
      <w:r>
        <w:rPr>
          <w:rStyle w:val="CharStyle11"/>
          <w:lang w:val="en-US" w:eastAsia="en-US"/>
        </w:rPr>
        <w:t xml:space="preserve">№2 </w:t>
      </w:r>
      <w:r>
        <w:rPr>
          <w:rStyle w:val="CharStyle11"/>
        </w:rPr>
        <w:t xml:space="preserve">об отсутствии эскиза и неопределении срока на изготовление эскизов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  <w:b/>
          <w:bCs/>
        </w:rPr>
        <w:t>необоснованными</w:t>
      </w:r>
      <w:r>
        <w:rPr>
          <w:rStyle w:val="CharStyle11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>Довод в отношении недостаточности в ООЗ размеров скульптурных композиций (длины и ширины), а также неуказания материала для изготовления плинта и неуказания дополнительных элементов и аксессуаров в СК «Белки»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Комиссия УФАС также признает </w:t>
      </w:r>
      <w:r>
        <w:rPr>
          <w:rStyle w:val="CharStyle11"/>
          <w:b/>
          <w:bCs/>
        </w:rPr>
        <w:t xml:space="preserve">необоснованным </w:t>
      </w:r>
      <w:r>
        <w:rPr>
          <w:rStyle w:val="CharStyle11"/>
        </w:rPr>
        <w:t>по следующим основаниям.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Как указано выше, предметом закупки является авторское изделие скульптурного искусства, что позволяет художнику-исполнителю реализовать свой взгляд на композиции и применить свои техники, методы и приемы для отражения идеи, а также воплотить в своей творческой манере образы героев композиций, в тех позах и с использованием тех элементов и аксессуаров, которые </w:t>
      </w:r>
      <w:r>
        <w:rPr>
          <w:rStyle w:val="CharStyle11"/>
          <w:u w:val="single"/>
        </w:rPr>
        <w:t>предполагает художник-исполнитель</w:t>
      </w:r>
      <w:r>
        <w:rPr>
          <w:rStyle w:val="CharStyle11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Для реализации указанных выше установок Заказчик не ограничивает потенциального победителя Конкурса размерами композиций, </w:t>
      </w:r>
      <w:r>
        <w:rPr>
          <w:rStyle w:val="CharStyle11"/>
          <w:u w:val="single"/>
        </w:rPr>
        <w:t>давая волю фантазии автора</w:t>
      </w:r>
      <w:r>
        <w:rPr>
          <w:rStyle w:val="CharStyle11"/>
        </w:rPr>
        <w:t>, однако указывает в ООЗ необходимые ограничения: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высота СК «Девочка и белка»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 xml:space="preserve">140 </w:t>
      </w:r>
      <w:r>
        <w:rPr>
          <w:rStyle w:val="CharStyle11"/>
        </w:rPr>
        <w:t xml:space="preserve">до </w:t>
      </w:r>
      <w:r>
        <w:rPr>
          <w:rStyle w:val="CharStyle11"/>
          <w:lang w:val="en-US" w:eastAsia="en-US"/>
        </w:rPr>
        <w:t xml:space="preserve">145 </w:t>
      </w:r>
      <w:r>
        <w:rPr>
          <w:rStyle w:val="CharStyle11"/>
        </w:rPr>
        <w:t>см;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высота композиции «Белки»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туловище от </w:t>
      </w:r>
      <w:r>
        <w:rPr>
          <w:rStyle w:val="CharStyle11"/>
          <w:lang w:val="en-US" w:eastAsia="en-US"/>
        </w:rPr>
        <w:t xml:space="preserve">25 </w:t>
      </w:r>
      <w:r>
        <w:rPr>
          <w:rStyle w:val="CharStyle11"/>
        </w:rPr>
        <w:t xml:space="preserve">до </w:t>
      </w:r>
      <w:r>
        <w:rPr>
          <w:rStyle w:val="CharStyle11"/>
          <w:lang w:val="en-US" w:eastAsia="en-US"/>
        </w:rPr>
        <w:t xml:space="preserve">30 </w:t>
      </w:r>
      <w:r>
        <w:rPr>
          <w:rStyle w:val="CharStyle11"/>
        </w:rPr>
        <w:t xml:space="preserve">см, хвост от </w:t>
      </w:r>
      <w:r>
        <w:rPr>
          <w:rStyle w:val="CharStyle11"/>
          <w:lang w:val="en-US" w:eastAsia="en-US"/>
        </w:rPr>
        <w:t xml:space="preserve">17 </w:t>
      </w:r>
      <w:r>
        <w:rPr>
          <w:rStyle w:val="CharStyle11"/>
        </w:rPr>
        <w:t xml:space="preserve">до </w:t>
      </w:r>
      <w:r>
        <w:rPr>
          <w:rStyle w:val="CharStyle11"/>
          <w:lang w:val="en-US" w:eastAsia="en-US"/>
        </w:rPr>
        <w:t xml:space="preserve">20 </w:t>
      </w:r>
      <w:r>
        <w:rPr>
          <w:rStyle w:val="CharStyle11"/>
        </w:rPr>
        <w:t>см.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Кроме того, в Приложении </w:t>
      </w:r>
      <w:r>
        <w:rPr>
          <w:rStyle w:val="CharStyle11"/>
          <w:lang w:val="en-US" w:eastAsia="en-US"/>
        </w:rPr>
        <w:t xml:space="preserve">№5 </w:t>
      </w:r>
      <w:r>
        <w:rPr>
          <w:rStyle w:val="CharStyle11"/>
        </w:rPr>
        <w:t>к Извещению «Порядок рассмотрения и оценки заявок на участие в конкурсе» Заказчик указывает, что предмет договоров, оцениваемых по детализирующему показателю, сопоставимый с предметом контракта, заключаемого по результатам конкурса, предусматривает «</w:t>
      </w:r>
      <w:r>
        <w:rPr>
          <w:rStyle w:val="CharStyle11"/>
          <w:i/>
          <w:iCs/>
        </w:rPr>
        <w:t>работы (услуги) по созданию/изготовлению произведения академических скульптур/академической скульптуры/ академической скульптурной композиции (выполненные из бронзы)</w:t>
      </w:r>
      <w:r>
        <w:rPr>
          <w:rStyle w:val="CharStyle11"/>
        </w:rPr>
        <w:t>», что подразумевает соблюдение пропорций, масштабности, соотношения величин элементов композиций.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отношении материала для изготовления плинта представитель Заказчика на заседании Комиссии УФАС указала на то, что плинт не вынесен в отдельный показатель ООЗ, следовательно, он должен быть также изготовлен из бронзы, как и вся СК, представляющая из себя единое изделие.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Протоколом рассмотрения и оценки вторых частей заявок на участие в открытом конкурсе в электронной форме от </w:t>
      </w:r>
      <w:r>
        <w:rPr>
          <w:rStyle w:val="CharStyle11"/>
          <w:lang w:val="en-US" w:eastAsia="en-US"/>
        </w:rPr>
        <w:t xml:space="preserve">10.09.2025 №ПРОII1, </w:t>
      </w:r>
      <w:r>
        <w:rPr>
          <w:rStyle w:val="CharStyle11"/>
        </w:rPr>
        <w:t xml:space="preserve">на участие в закупке было подано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>(Пять) заявок, то есть, как минимум пять участников рынка посчитали ООЗ рассматриваемой закупки достаточным для расчета стоимости выполнения закупаемых работ, смогли оценить свои возможности и подали заявки на участие в Конкурсе.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Кроме того, Комиссия УФАС отмечает, что Заявитель не является участником рассматриваемого Конкурса, а также не воспользовался возможностью в установленные Законом о контрактной системе сроки подать запрос на разъяснение положений Извещения, чтобы выяснить все интересующие его детали закупки и обратиться к Заказчику с требованием о внесении необходимых для Заявителя изменений в Извещение.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Также Заявитель на рассмотрение жалобы не явился, участия своего представителя на заседании Комиссии УФАС не обеспечил.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Исходя из вышеизложенного, руководствуясь статьями </w:t>
      </w:r>
      <w:r>
        <w:rPr>
          <w:rStyle w:val="CharStyle11"/>
          <w:lang w:val="en-US" w:eastAsia="en-US"/>
        </w:rPr>
        <w:t xml:space="preserve">99, 106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05.04.2013 </w:t>
      </w:r>
      <w:r>
        <w:rPr>
          <w:rStyle w:val="CharStyle11"/>
        </w:rPr>
        <w:t>№44-ФЗ «О контрактной системе в сфере закупок товаров, работ, услуг для государственных и муниципальных нужд», Комиссия УФАС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1"/>
        </w:rPr>
        <w:t>РЕШИЛА: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1"/>
        </w:rPr>
        <w:t>Признать жалобу ООО «ЮНИКОРН»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618" w:bottom="1012" w:left="1034" w:header="0" w:footer="3" w:gutter="0"/>
          <w:cols w:space="720"/>
          <w:noEndnote/>
          <w:rtlGutter w:val="0"/>
          <w:docGrid w:linePitch="360"/>
        </w:sectPr>
      </w:pPr>
      <w:r>
        <w:rPr>
          <w:rStyle w:val="CharStyle11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3" w:right="0" w:bottom="11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2923" w:h="394" w:wrap="none" w:vAnchor="text" w:hAnchor="page" w:x="118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Председатель Комиссии</w:t>
      </w:r>
    </w:p>
    <w:p>
      <w:pPr>
        <w:pStyle w:val="Style14"/>
        <w:keepNext w:val="0"/>
        <w:keepLines w:val="0"/>
        <w:framePr w:w="2712" w:h="408" w:wrap="none" w:vAnchor="text" w:hAnchor="page" w:x="5009" w:y="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0"/>
        <w:keepNext w:val="0"/>
        <w:keepLines w:val="0"/>
        <w:framePr w:w="1363" w:h="394" w:wrap="none" w:vAnchor="text" w:hAnchor="page" w:x="980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1"/>
        </w:rPr>
        <w:t>А.Г. Жуков</w:t>
      </w:r>
    </w:p>
    <w:p>
      <w:pPr>
        <w:widowControl w:val="0"/>
        <w:spacing w:after="714" w:line="1" w:lineRule="exact"/>
      </w:pPr>
      <w:r>
        <w:drawing>
          <wp:anchor distT="0" distB="0" distL="0" distR="1804670" simplePos="0" relativeHeight="62914696" behindDoc="1" locked="0" layoutInCell="1" allowOverlap="1">
            <wp:simplePos x="0" y="0"/>
            <wp:positionH relativeFrom="page">
              <wp:posOffset>2783840</wp:posOffset>
            </wp:positionH>
            <wp:positionV relativeFrom="paragraph">
              <wp:posOffset>88265</wp:posOffset>
            </wp:positionV>
            <wp:extent cx="316865" cy="365760"/>
            <wp:wrapNone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3" w:right="728" w:bottom="117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ЖУКОВ АЗАМАТ ГАСАНОВИЧ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4B9C8818528740555A2694AABD28237A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>Действителен с 21.05.2025 по 14.08.2026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298450" distL="0" distR="0" simplePos="0" relativeHeight="125829382" behindDoc="0" locked="0" layoutInCell="1" allowOverlap="1">
                <wp:simplePos x="0" y="0"/>
                <wp:positionH relativeFrom="page">
                  <wp:posOffset>748030</wp:posOffset>
                </wp:positionH>
                <wp:positionV relativeFrom="paragraph">
                  <wp:posOffset>3175</wp:posOffset>
                </wp:positionV>
                <wp:extent cx="1359535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95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8.899999999999999pt;margin-top:0.25pt;width:107.05pt;height:19.699999999999999pt;z-index:-125829371;mso-wrap-distance-left:0;mso-wrap-distance-top:0.25pt;mso-wrap-distance-right:0;mso-wrap-distance-bottom:23.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0" distR="1786255" simplePos="0" relativeHeight="125829384" behindDoc="0" locked="0" layoutInCell="1" allowOverlap="1">
            <wp:simplePos x="0" y="0"/>
            <wp:positionH relativeFrom="page">
              <wp:posOffset>2759710</wp:posOffset>
            </wp:positionH>
            <wp:positionV relativeFrom="paragraph">
              <wp:posOffset>0</wp:posOffset>
            </wp:positionV>
            <wp:extent cx="359410" cy="55499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3220085</wp:posOffset>
                </wp:positionH>
                <wp:positionV relativeFrom="paragraph">
                  <wp:posOffset>435610</wp:posOffset>
                </wp:positionV>
                <wp:extent cx="1283335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53.55000000000001pt;margin-top:34.300000000000004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3177540</wp:posOffset>
                </wp:positionH>
                <wp:positionV relativeFrom="paragraph">
                  <wp:posOffset>118745</wp:posOffset>
                </wp:positionV>
                <wp:extent cx="1725295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50.20000000000002pt;margin-top:9.3499999999999996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298450" distL="0" distR="0" simplePos="0" relativeHeight="125829385" behindDoc="0" locked="0" layoutInCell="1" allowOverlap="1">
                <wp:simplePos x="0" y="0"/>
                <wp:positionH relativeFrom="page">
                  <wp:posOffset>5920740</wp:posOffset>
                </wp:positionH>
                <wp:positionV relativeFrom="paragraph">
                  <wp:posOffset>3175</wp:posOffset>
                </wp:positionV>
                <wp:extent cx="1173480" cy="2501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С.М. Керашева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66.19999999999999pt;margin-top:0.25pt;width:92.400000000000006pt;height:19.699999999999999pt;z-index:-125829368;mso-wrap-distance-left:0;mso-wrap-distance-top:0.25pt;mso-wrap-distance-right:0;mso-wrap-distance-bottom:23.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С.М. Керашева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6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Керашева Сусана Муратовна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00A0FD32E0EFEE026E624F0421626EED3A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7"/>
        </w:rPr>
        <w:t xml:space="preserve">Действителен с 17.01.2025 </w:t>
      </w:r>
      <w:r>
        <w:rPr>
          <w:rStyle w:val="CharStyle27"/>
          <w:color w:val="5E5E5E"/>
        </w:rPr>
        <w:t xml:space="preserve">по </w:t>
      </w:r>
      <w:r>
        <w:rPr>
          <w:rStyle w:val="CharStyle27"/>
        </w:rPr>
        <w:t>12.04.2026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18970" simplePos="0" relativeHeight="125829387" behindDoc="0" locked="0" layoutInCell="1" allowOverlap="1">
            <wp:simplePos x="0" y="0"/>
            <wp:positionH relativeFrom="page">
              <wp:posOffset>2783840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3176905</wp:posOffset>
                </wp:positionH>
                <wp:positionV relativeFrom="paragraph">
                  <wp:posOffset>146050</wp:posOffset>
                </wp:positionV>
                <wp:extent cx="1725295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50.15000000000001pt;margin-top:11.5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</w:rPr>
        <w:t>Н.А. Клюкина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КЛЮКИНА НАТАЛЬЯ АЛЕКСАНДРОВНА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68C6EA25EAC373ADCFE5D67D96FA5798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Действителен с 09.06.2025 </w:t>
      </w:r>
      <w:r>
        <w:rPr>
          <w:rStyle w:val="CharStyle27"/>
          <w:color w:val="5E5E5E"/>
        </w:rPr>
        <w:t xml:space="preserve">по </w:t>
      </w:r>
      <w:r>
        <w:rPr>
          <w:rStyle w:val="CharStyle27"/>
        </w:rPr>
        <w:t>02.09.2026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2595" w:bottom="1666" w:left="33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9951085</wp:posOffset>
              </wp:positionV>
              <wp:extent cx="658495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2025-2481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200000000000003pt;margin-top:783.55000000000007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2025-2481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2025-2481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6.75pt;margin-top:775.70000000000005pt;width:51.8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2025-2481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3875405</wp:posOffset>
              </wp:positionH>
              <wp:positionV relativeFrom="page">
                <wp:posOffset>687070</wp:posOffset>
              </wp:positionV>
              <wp:extent cx="79375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05.15000000000003pt;margin-top:54.100000000000001pt;width:6.25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Heading #1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Body text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ind w:firstLine="7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10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png"/><Relationship Id="rId14" Type="http://schemas.openxmlformats.org/officeDocument/2006/relationships/image" Target="media/image3.pn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/Relationships>
</file>