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6"/>
        </w:rPr>
        <w:t>пр. Мира, 81 д, г. Красноярск, 660017</w:t>
        <w:br/>
        <w:t>тел. (391) 211-00-00, факс (391) 211-01-14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6"/>
          <w:lang w:val="en-US" w:eastAsia="en-US"/>
        </w:rPr>
        <w:t>to24@fas.gov.ru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/>
        <w:ind w:left="0" w:right="0" w:firstLine="0"/>
        <w:jc w:val="both"/>
      </w:pPr>
      <w:r>
        <w:rPr>
          <w:rStyle w:val="CharStyle9"/>
        </w:rPr>
        <w:tab/>
        <w:t xml:space="preserve"> №</w:t>
        <w:tab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1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КГКУ «Управление капитального строительства»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ул. Ады Лебедевой, д. 101А, г. Красноярск, Красноярский край, 660099 </w:t>
      </w:r>
      <w:r>
        <w:fldChar w:fldCharType="begin"/>
      </w:r>
      <w:r>
        <w:rPr/>
        <w:instrText> HYPERLINK "mailto:zakupki-krasuks@mail.ru" </w:instrText>
      </w:r>
      <w:r>
        <w:fldChar w:fldCharType="separate"/>
      </w:r>
      <w:r>
        <w:rPr>
          <w:rStyle w:val="CharStyle13"/>
          <w:lang w:val="en-US" w:eastAsia="en-US"/>
        </w:rPr>
        <w:t>zakupki-krasuks@mail.ru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Агентство государственного заказа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Красноярского края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пр-кт Мира, д. 10, оф. 53, г. Красноярск,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Красноярский край, 660049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3"/>
          <w:lang w:val="en-US" w:eastAsia="en-US"/>
        </w:rPr>
        <w:t>agz_priem@mail.ru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ООО «АК ПРИНТ»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пер. Северный 2А, офис 1, 5 этаж, 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Екатеринбург,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620014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"mailto:lva@ita1.ru" </w:instrText>
      </w:r>
      <w:r>
        <w:fldChar w:fldCharType="separate"/>
      </w:r>
      <w:r>
        <w:rPr>
          <w:rStyle w:val="CharStyle13"/>
          <w:lang w:val="en-US" w:eastAsia="en-US"/>
        </w:rPr>
        <w:t>lva@ita1.ru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ЭТП ТЭК-Торг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ул. Тимура Фрунзе, д. 24, г. Москва, 119034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even" r:id="rId10"/>
          <w:footerReference w:type="first" r:id="rId11"/>
          <w:footnotePr>
            <w:pos w:val="pageBottom"/>
            <w:numFmt w:val="decimal"/>
            <w:numRestart w:val="continuous"/>
          </w:footnotePr>
          <w:pgSz w:w="11900" w:h="16840"/>
          <w:pgMar w:top="279" w:right="997" w:bottom="1212" w:left="1135" w:header="0" w:footer="3" w:gutter="0"/>
          <w:pgNumType w:start="1"/>
          <w:cols w:num="2" w:space="763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"mailto:help@tektorg.ru" </w:instrText>
      </w:r>
      <w:r>
        <w:fldChar w:fldCharType="separate"/>
      </w:r>
      <w:r>
        <w:rPr>
          <w:rStyle w:val="CharStyle13"/>
          <w:lang w:val="en-US" w:eastAsia="en-US"/>
        </w:rPr>
        <w:t>help@tektorg.ru</w:t>
      </w:r>
      <w:r>
        <w:fldChar w:fldCharType="end"/>
      </w:r>
    </w:p>
    <w:p>
      <w:pPr>
        <w:widowControl w:val="0"/>
        <w:spacing w:line="204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7" w:right="0" w:bottom="11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3"/>
        </w:rPr>
        <w:t>Решение по делу № 024/06/106-2581/2025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6274435</wp:posOffset>
                </wp:positionH>
                <wp:positionV relativeFrom="paragraph">
                  <wp:posOffset>12700</wp:posOffset>
                </wp:positionV>
                <wp:extent cx="908050" cy="21653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4.05000000000001pt;margin-top:1.pt;width:71.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11 сентября 2025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Комиссия Красноярского УФАС России по контролю в сфере закупок в составе: Председатель Комиссии — Дударева М.А., заместитель руководителя; члены Комиссии — Грицай М.А., начальник отдела; Пелевина Д.Н., специалист-эксперт (далее – Комиссия), рассмотрев жалобу ООО «АК ПРИНТ» (далее – Податель жалобы) на действия заказчика – КГКУ «Управление капитального строительства» (далее – Заказчик), уполномоченного органа — Агентства государственного заказа Красноярского края при проведении электронного аукциона ЭА-№-16161/25 «Поставка компьютерной техники на строящийся объект: Быстровозводимая крытая спортивная площадка в с. Краснотуранск Краснотуранского района» (далее – Электронный аукцион), извещение № 0119200000125015889, ИКЗ 252246621522024660100105530012620414 на электронной торговой площадке «ЭТП ТЭК-Торг» (далее – Оператор электронной площадки)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Существо жалобы: нарушение аукционной комиссией порядка рассмотрения заявок на участие в закупке, нарушающие требования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Жалоба поступила в адрес Красноярского УФАС России в срок, установленный частью 2 статьи 105 Закона о контрактной системе, соответствует требованиям части 4 статьи 105 указанного закона, в связи с чем подлежит принятию к рассмотрению по существу.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rStyle w:val="CharStyle13"/>
        </w:rPr>
        <w:t>В адреса Подателя жалобы, Заказчика, Уполномоченного органа, Оператора электронной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5"/>
        </w:rPr>
        <w:t>IIIIIIIIIIIIIIIIIIIIIIII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площадки было направлено уведомление о содержании жалобы с информацией о месте и времени ее рассмотрения (далее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>Уведомление).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Заказчику, Уполномоченному органу, Оператору электронной площадки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На заседании Комиссии </w:t>
      </w:r>
      <w:r>
        <w:rPr>
          <w:rStyle w:val="CharStyle13"/>
          <w:lang w:val="en-US" w:eastAsia="en-US"/>
        </w:rPr>
        <w:t xml:space="preserve">11.09.2025 </w:t>
      </w:r>
      <w:r>
        <w:rPr>
          <w:rStyle w:val="CharStyle13"/>
        </w:rPr>
        <w:t xml:space="preserve">г. в </w:t>
      </w:r>
      <w:r>
        <w:rPr>
          <w:rStyle w:val="CharStyle13"/>
          <w:lang w:val="en-US" w:eastAsia="en-US"/>
        </w:rPr>
        <w:t xml:space="preserve">13 </w:t>
      </w:r>
      <w:r>
        <w:rPr>
          <w:rStyle w:val="CharStyle13"/>
        </w:rPr>
        <w:t xml:space="preserve">часов </w:t>
      </w:r>
      <w:r>
        <w:rPr>
          <w:rStyle w:val="CharStyle13"/>
          <w:lang w:val="en-US" w:eastAsia="en-US"/>
        </w:rPr>
        <w:t xml:space="preserve">30 </w:t>
      </w:r>
      <w:r>
        <w:rPr>
          <w:rStyle w:val="CharStyle13"/>
        </w:rPr>
        <w:t>минут по рассмотрению жалобы по существу лично присутствовал представители Заказчика и Уполномоченного органа, надлежащим образом подтвердившие свою личность и полномочия.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Из доводов жалобы следует, что, по мнению Подателя жалобы, отклонение заявки по пункту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 является необоснованным, так как в заявке были указаны реестровые номера промышленной продукции для каждой позиции, программное обеспечение, указана страна происхождения, количество баллов, уровень.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Заказчиком и Уполномоченным органом были представлены письменные возражения (с приложением подтверждающих документов) в отношении доводов жалобы, из которых следует что действия аукционной комиссии при рассмотрении заявок участников аукциона были правомерными и соответствовали требованиям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В связи с возникшей потребностью у Заказчика Уполномоченным органом были совершены действия по проведению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Извещение и документация о проведении электронного аукциона на право заключения контракта на поставку компьютерной техники на строящийся объект размещены </w:t>
      </w:r>
      <w:r>
        <w:rPr>
          <w:rStyle w:val="CharStyle13"/>
          <w:lang w:val="en-US" w:eastAsia="en-US"/>
        </w:rPr>
        <w:t xml:space="preserve">21.08.2025 </w:t>
      </w:r>
      <w:r>
        <w:rPr>
          <w:rStyle w:val="CharStyle13"/>
        </w:rPr>
        <w:t>г. в ЕИС.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В силу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в описании объекта закупки указываются функциональные, технические и качественные характеристики эксплуатационные характеристики объекта закупки (при необходимости).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системе, должно содержать показатели, позволяющие определить соответствие закупаемых товара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контактной системе 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 содержащее следующую информацию: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наименование объекта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23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7" w:right="537" w:bottom="1194" w:left="1097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Объектом закупки является поставка компьютерной техники (системный блок, ноутбук) коды ОКПД2 </w:t>
      </w:r>
      <w:r>
        <w:rPr>
          <w:rStyle w:val="CharStyle13"/>
          <w:lang w:val="en-US" w:eastAsia="en-US"/>
        </w:rPr>
        <w:t xml:space="preserve">– 26.20.15.120, 26.20.11.110 </w:t>
      </w:r>
      <w:r>
        <w:rPr>
          <w:rStyle w:val="CharStyle13"/>
        </w:rPr>
        <w:t xml:space="preserve">указанные в позициях </w:t>
      </w:r>
      <w:r>
        <w:rPr>
          <w:rStyle w:val="CharStyle13"/>
          <w:lang w:val="en-US" w:eastAsia="en-US"/>
        </w:rPr>
        <w:t xml:space="preserve">199, 195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к постановлению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юридических лиц»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Постановление Правительства </w:t>
      </w:r>
      <w:r>
        <w:rPr>
          <w:rStyle w:val="CharStyle13"/>
          <w:lang w:val="en-US" w:eastAsia="en-US"/>
        </w:rPr>
        <w:t xml:space="preserve">№ 1875), </w:t>
      </w:r>
      <w:r>
        <w:rPr>
          <w:rStyle w:val="CharStyle13"/>
        </w:rPr>
        <w:t>на основании которого в извещении установлено ограничение закупок товаров, происходящих из иностранных государств.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В силу подпункта «а» пункта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Постановления Правительства </w:t>
      </w:r>
      <w:r>
        <w:rPr>
          <w:rStyle w:val="CharStyle13"/>
          <w:lang w:val="en-US" w:eastAsia="en-US"/>
        </w:rPr>
        <w:t xml:space="preserve">№ 1875 </w:t>
      </w:r>
      <w:r>
        <w:rPr>
          <w:rStyle w:val="CharStyle13"/>
        </w:rPr>
        <w:t xml:space="preserve">подтверждением происхождения товаров, указанных в позициях </w:t>
      </w:r>
      <w:r>
        <w:rPr>
          <w:rStyle w:val="CharStyle13"/>
          <w:lang w:val="en-US" w:eastAsia="en-US"/>
        </w:rPr>
        <w:t xml:space="preserve">1 – 433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к указанному постановлению, является номер реестровой записи из реестра российской промышленной продукции и информация о совокупном количестве баллов, если в отношении такого товара постановлением Правительства РФ от </w:t>
      </w:r>
      <w:r>
        <w:rPr>
          <w:rStyle w:val="CharStyle13"/>
          <w:lang w:val="en-US" w:eastAsia="en-US"/>
        </w:rPr>
        <w:t xml:space="preserve">17.07.2015 № 719 </w:t>
      </w:r>
      <w:r>
        <w:rPr>
          <w:rStyle w:val="CharStyle13"/>
        </w:rPr>
        <w:t xml:space="preserve">«О подтверждении производства российской промышленной продукции»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Постановление Правительства </w:t>
      </w:r>
      <w:r>
        <w:rPr>
          <w:rStyle w:val="CharStyle13"/>
          <w:lang w:val="en-US" w:eastAsia="en-US"/>
        </w:rPr>
        <w:t xml:space="preserve">№ 719) </w:t>
      </w:r>
      <w:r>
        <w:rPr>
          <w:rStyle w:val="CharStyle13"/>
        </w:rPr>
        <w:t>установлены требования.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предусмотренные нормативными правовыми актами, принятыми в соответствии с частью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и частью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Закона о контрактной системе (в случае, если в извещении об осуществлении закупки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 происходящих из иностранного государства или группы иностранных государств, работ, услуг соответственно выполняемых, оказываемых иностранными лицами.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В соответствии с подпунктом «а»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о контрактной системе Правительство Российской Федерации вправе с учетом положений 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Закона о контрактной системе принимать меры, устанавливающие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49 </w:t>
      </w:r>
      <w:r>
        <w:rPr>
          <w:rStyle w:val="CharStyle13"/>
        </w:rPr>
        <w:t xml:space="preserve">Закона о контрактной системе установлено,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 направленные оператором электронной площадки в соответствии с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49 </w:t>
      </w:r>
      <w:r>
        <w:rPr>
          <w:rStyle w:val="CharStyle13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3"/>
          <w:lang w:val="en-US" w:eastAsia="en-US"/>
        </w:rPr>
        <w:t xml:space="preserve">1 – 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Комиссией установлено, что согласно протоколу подведения итогов от </w:t>
      </w:r>
      <w:r>
        <w:rPr>
          <w:rStyle w:val="CharStyle13"/>
          <w:lang w:val="en-US" w:eastAsia="en-US"/>
        </w:rPr>
        <w:t xml:space="preserve">04.09.2025 </w:t>
      </w:r>
      <w:r>
        <w:rPr>
          <w:rStyle w:val="CharStyle13"/>
        </w:rPr>
        <w:t xml:space="preserve">г. на участие в электронном аукционе подано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(семь) заявок, по результатам подведения итогов было допущено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(две) заявки, соответствующие требования, установленным в извещении.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Податель жалобы по позиции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 xml:space="preserve">«Системный блок» предоставил в составе заявки номер реестровой записи из реестра российской промышленной продукции </w:t>
      </w:r>
      <w:r>
        <w:rPr>
          <w:rStyle w:val="CharStyle13"/>
          <w:lang w:val="en-US" w:eastAsia="en-US"/>
        </w:rPr>
        <w:t xml:space="preserve">№ 10617190 </w:t>
      </w:r>
      <w:r>
        <w:rPr>
          <w:rStyle w:val="CharStyle13"/>
        </w:rPr>
        <w:t xml:space="preserve">на товар «ПЭВМ АБР ОС-НОВА Д-02 </w:t>
      </w:r>
      <w:r>
        <w:rPr>
          <w:rStyle w:val="CharStyle13"/>
          <w:lang w:val="en-US" w:eastAsia="en-US"/>
        </w:rPr>
        <w:t xml:space="preserve">(43550610.466219.003-05)», </w:t>
      </w:r>
      <w:r>
        <w:rPr>
          <w:rStyle w:val="CharStyle13"/>
        </w:rPr>
        <w:t>в состав которого входит системный блок.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При этом реестровая запись распространяется только на полный состав товаров, указанный в такой реестровой записи, и информация о номере реестровой записи не может являться подтверждением страны происхождения отдельных товаров, так как такой товар является лишь составной частью.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Таким образом по позиции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>«Системный блок» Податель жалобы не предоставил сведения, подтверждающие страну происхождения товара. В качестве подтверждения страны происхождения товаров участникам закупки необходимо представить номера реестровых записей из реестра по каждому отдельному товару с учетом наименования и специфики товар.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434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546" w:bottom="416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аявка Подателя жалоба с идентификационным номером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была признана не </w:t>
      </w:r>
      <w:r>
        <w:rPr>
          <w:rStyle w:val="CharStyle13"/>
          <w:lang w:val="en-US" w:eastAsia="en-US"/>
        </w:rPr>
        <w:t>2025-1321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соответствующей и на основании пункта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 аукционной комиссией принято решение об отклонении заявки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Комиссия отдельно отмечает, что в поданных заявках, которые по результатам подведения итогов комиссией признаны соответствующими, представлена информация и документы подтверждающие страну происхождения товара в соответствии с требованиями Постановления Правительства </w:t>
      </w:r>
      <w:r>
        <w:rPr>
          <w:rStyle w:val="CharStyle13"/>
          <w:lang w:val="en-US" w:eastAsia="en-US"/>
        </w:rPr>
        <w:t xml:space="preserve">№ 1875 </w:t>
      </w:r>
      <w:r>
        <w:rPr>
          <w:rStyle w:val="CharStyle13"/>
        </w:rPr>
        <w:t xml:space="preserve">и Постановления Правительства </w:t>
      </w:r>
      <w:r>
        <w:rPr>
          <w:rStyle w:val="CharStyle13"/>
          <w:lang w:val="en-US" w:eastAsia="en-US"/>
        </w:rPr>
        <w:t>№ 719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Аналогичная правовая позиция отражена в решении ФАС России от </w:t>
      </w:r>
      <w:r>
        <w:rPr>
          <w:rStyle w:val="CharStyle13"/>
          <w:lang w:val="en-US" w:eastAsia="en-US"/>
        </w:rPr>
        <w:t xml:space="preserve">27.06.2025 </w:t>
      </w:r>
      <w:r>
        <w:rPr>
          <w:rStyle w:val="CharStyle13"/>
        </w:rPr>
        <w:t xml:space="preserve">г. по делу </w:t>
      </w:r>
      <w:r>
        <w:rPr>
          <w:rStyle w:val="CharStyle13"/>
          <w:lang w:val="en-US" w:eastAsia="en-US"/>
        </w:rPr>
        <w:t xml:space="preserve">№ 28/06/105-3149/2025 </w:t>
      </w:r>
      <w:r>
        <w:rPr>
          <w:rStyle w:val="CharStyle13"/>
        </w:rPr>
        <w:t xml:space="preserve">и в решении ФАС России от </w:t>
      </w:r>
      <w:r>
        <w:rPr>
          <w:rStyle w:val="CharStyle13"/>
          <w:lang w:val="en-US" w:eastAsia="en-US"/>
        </w:rPr>
        <w:t xml:space="preserve">02.07.2025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>№ 28/06/105-3218/2025.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Установленные обстоятельства в совокупности свидетельствуют об отсутствии в действиях аукционной комиссии нарушений требований законодательства о контрактной системе в сфере закупок при принятии решения об отклонении заявки.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Таким образом, Комиссия приходит к выводу, что действия аукционной комиссии по осуществлению закупки в принятии решения об отклонении заявки Подателя жалобы не противоречат требованиям Закона о контрактной системе и Постановления Правительства </w:t>
      </w:r>
      <w:r>
        <w:rPr>
          <w:rStyle w:val="CharStyle13"/>
          <w:lang w:val="en-US" w:eastAsia="en-US"/>
        </w:rPr>
        <w:t>№ 1875.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rStyle w:val="CharStyle13"/>
        </w:rPr>
        <w:t xml:space="preserve">На основании вышеизложенных обстоятельств, в результате рассмотрения жалобы по существу и проведения внеплановой проверки, руководствуясь частями </w:t>
      </w:r>
      <w:r>
        <w:rPr>
          <w:rStyle w:val="CharStyle13"/>
          <w:lang w:val="en-US" w:eastAsia="en-US"/>
        </w:rPr>
        <w:t xml:space="preserve">3, 15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99, </w:t>
      </w: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 Комиссия Красноярского УФАС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Признать жалобу ООО «АК ПРИНТ»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00"/>
        <w:jc w:val="both"/>
      </w:pPr>
      <w:r>
        <w:rPr>
          <w:rStyle w:val="CharStyle13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350520" distL="114300" distR="135890" simplePos="0" relativeHeight="125829380" behindDoc="0" locked="0" layoutInCell="1" allowOverlap="1">
                <wp:simplePos x="0" y="0"/>
                <wp:positionH relativeFrom="page">
                  <wp:posOffset>6195060</wp:posOffset>
                </wp:positionH>
                <wp:positionV relativeFrom="paragraph">
                  <wp:posOffset>12700</wp:posOffset>
                </wp:positionV>
                <wp:extent cx="984250" cy="2197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Дударева М.А.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7.80000000000001pt;margin-top:1.pt;width:77.5pt;height:17.300000000000001pt;z-index:-125829373;mso-wrap-distance-left:9.pt;mso-wrap-distance-right:10.700000000000001pt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Дударева М.А.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0" distL="263525" distR="114300" simplePos="0" relativeHeight="125829382" behindDoc="0" locked="0" layoutInCell="1" allowOverlap="1">
                <wp:simplePos x="0" y="0"/>
                <wp:positionH relativeFrom="page">
                  <wp:posOffset>6344285</wp:posOffset>
                </wp:positionH>
                <wp:positionV relativeFrom="paragraph">
                  <wp:posOffset>363220</wp:posOffset>
                </wp:positionV>
                <wp:extent cx="856615" cy="21971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Грицай М.А.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9.55000000000001pt;margin-top:28.600000000000001pt;width:67.450000000000003pt;height:17.300000000000001pt;z-index:-125829371;mso-wrap-distance-left:20.75pt;mso-wrap-distance-top:27.6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Грицай М.А.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>Члены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400" w:line="240" w:lineRule="auto"/>
        <w:ind w:left="0" w:right="0" w:firstLine="0"/>
        <w:jc w:val="right"/>
      </w:pPr>
      <w:r>
        <w:rPr>
          <w:rStyle w:val="CharStyle13"/>
        </w:rPr>
        <w:t>Пелевина Д.Н.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  <w:color w:val="000000"/>
        </w:rPr>
        <w:t xml:space="preserve">Исп.Пелевина Д.Н. тел.(319) </w:t>
      </w:r>
      <w:r>
        <w:rPr>
          <w:rStyle w:val="CharStyle6"/>
          <w:color w:val="000000"/>
          <w:lang w:val="en-US" w:eastAsia="en-US"/>
        </w:rPr>
        <w:t>211-01-44</w:t>
      </w:r>
    </w:p>
    <w:sectPr>
      <w:footnotePr>
        <w:pos w:val="pageBottom"/>
        <w:numFmt w:val="decimal"/>
        <w:numRestart w:val="continuous"/>
      </w:footnotePr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10010140</wp:posOffset>
              </wp:positionV>
              <wp:extent cx="72834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2025-1321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25pt;margin-top:788.20000000000005pt;width:57.3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2025-1321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72834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2025-1321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75.70000000000005pt;width:57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2025-1321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0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40"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spacing w:after="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/Relationships>
</file>