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760220" distL="960120" distR="953135" simplePos="0" relativeHeight="125829378" behindDoc="0" locked="0" layoutInCell="1" allowOverlap="1">
            <wp:simplePos x="0" y="0"/>
            <wp:positionH relativeFrom="page">
              <wp:posOffset>1795780</wp:posOffset>
            </wp:positionH>
            <wp:positionV relativeFrom="paragraph">
              <wp:posOffset>12700</wp:posOffset>
            </wp:positionV>
            <wp:extent cx="676910" cy="77724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76910" cy="777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873125" distB="1330325" distL="125730" distR="114300" simplePos="0" relativeHeight="125829379" behindDoc="0" locked="0" layoutInCell="1" allowOverlap="1">
                <wp:simplePos x="0" y="0"/>
                <wp:positionH relativeFrom="page">
                  <wp:posOffset>961390</wp:posOffset>
                </wp:positionH>
                <wp:positionV relativeFrom="paragraph">
                  <wp:posOffset>885825</wp:posOffset>
                </wp:positionV>
                <wp:extent cx="2347595" cy="33147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47595" cy="331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1D2A74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1D2A74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5.700000000000003pt;margin-top:69.75pt;width:184.84999999999999pt;height:26.100000000000001pt;z-index:-125829374;mso-wrap-distance-left:9.9000000000000004pt;mso-wrap-distance-top:68.75pt;mso-wrap-distance-right:9.pt;mso-wrap-distance-bottom:104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color w:val="1D2A74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color w:val="1D2A74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303020" distB="0" distL="114300" distR="226060" simplePos="0" relativeHeight="125829381" behindDoc="0" locked="0" layoutInCell="1" allowOverlap="1">
                <wp:simplePos x="0" y="0"/>
                <wp:positionH relativeFrom="page">
                  <wp:posOffset>949960</wp:posOffset>
                </wp:positionH>
                <wp:positionV relativeFrom="paragraph">
                  <wp:posOffset>1315720</wp:posOffset>
                </wp:positionV>
                <wp:extent cx="2247265" cy="123190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7265" cy="1231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76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1D2A74"/>
                                <w:sz w:val="24"/>
                                <w:szCs w:val="24"/>
                              </w:rPr>
                              <w:t>УПРАВЛЕНИЕ</w:t>
                              <w:br/>
                              <w:t>по Белгородской области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Преобраты некая, 82, г. Белгород, 308000</w:t>
                              <w:br/>
                              <w:t>тел./факс (4722) 32-16-92</w:t>
                              <w:br/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"mailto:to31@fas.gov.ru"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  <w:lang w:val="en-US" w:eastAsia="en-US"/>
                              </w:rPr>
                              <w:t>to31@fas.gov.ru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u w:val="single"/>
                              </w:rPr>
                              <w:t xml:space="preserve">/^^ </w:t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  <w:u w:val="single"/>
                                <w:lang w:val="en-US" w:eastAsia="en-US"/>
                              </w:rPr>
                              <w:t>W/</w:t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  <w:lang w:val="en-US" w:eastAsia="en-US"/>
                              </w:rPr>
                              <w:t xml:space="preserve"> </w:t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 xml:space="preserve">№ </w:t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  <w:u w:val="single"/>
                              </w:rPr>
                              <w:t>^^/^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4.799999999999997pt;margin-top:103.60000000000001pt;width:176.95000000000002pt;height:97.pt;z-index:-125829372;mso-wrap-distance-left:9.pt;mso-wrap-distance-top:102.60000000000001pt;mso-wrap-distance-right:17.8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76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1D2A74"/>
                          <w:sz w:val="24"/>
                          <w:szCs w:val="24"/>
                        </w:rPr>
                        <w:t>УПРАВЛЕНИЕ</w:t>
                        <w:br/>
                        <w:t>по Белгородской области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Преобраты некая, 82, г. Белгород, 308000</w:t>
                        <w:br/>
                        <w:t>тел./факс (4722) 32-16-92</w:t>
                        <w:br/>
                      </w:r>
                      <w:r>
                        <w:rPr>
                          <w:rStyle w:val="CharStyle7"/>
                          <w:b/>
                          <w:bCs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"mailto:to31@fas.gov.ru"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b/>
                          <w:bCs/>
                          <w:lang w:val="en-US" w:eastAsia="en-US"/>
                        </w:rPr>
                        <w:t>to31@fas.gov.ru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u w:val="single"/>
                        </w:rPr>
                        <w:t xml:space="preserve">/^^ </w:t>
                      </w:r>
                      <w:r>
                        <w:rPr>
                          <w:rStyle w:val="CharStyle7"/>
                          <w:b/>
                          <w:bCs/>
                          <w:u w:val="single"/>
                          <w:lang w:val="en-US" w:eastAsia="en-US"/>
                        </w:rPr>
                        <w:t>W/</w:t>
                      </w:r>
                      <w:r>
                        <w:rPr>
                          <w:rStyle w:val="CharStyle7"/>
                          <w:b/>
                          <w:bCs/>
                          <w:lang w:val="en-US" w:eastAsia="en-US"/>
                        </w:rPr>
                        <w:t xml:space="preserve"> </w:t>
                      </w:r>
                      <w:r>
                        <w:rPr>
                          <w:rStyle w:val="CharStyle7"/>
                          <w:b/>
                          <w:bCs/>
                        </w:rPr>
                        <w:t xml:space="preserve">№ </w:t>
                      </w:r>
                      <w:r>
                        <w:rPr>
                          <w:rStyle w:val="CharStyle7"/>
                          <w:b/>
                          <w:bCs/>
                          <w:u w:val="single"/>
                        </w:rPr>
                        <w:t>^^/^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both"/>
      </w:pPr>
      <w:r>
        <w:rPr>
          <w:rStyle w:val="CharStyle3"/>
        </w:rPr>
        <w:t>ФКУ СИЗО-З УФСИН России по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both"/>
      </w:pPr>
      <w:r>
        <w:rPr>
          <w:rStyle w:val="CharStyle3"/>
        </w:rPr>
        <w:t>Белгородской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80" w:right="0" w:firstLine="0"/>
        <w:jc w:val="both"/>
      </w:pPr>
      <w:r>
        <w:rPr>
          <w:rStyle w:val="CharStyle3"/>
        </w:rPr>
        <w:t>308017, г.Белгород, ул.К.Заслонова, Д.169А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both"/>
      </w:pPr>
      <w:r>
        <w:rPr>
          <w:rStyle w:val="CharStyle3"/>
        </w:rPr>
        <w:t>ООО «РТС-тендер»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both"/>
      </w:pPr>
      <w:r>
        <w:rPr>
          <w:rStyle w:val="CharStyle3"/>
        </w:rPr>
        <w:t>121151, г. Москва, наб. Тараса Шевченко,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1080" w:right="0" w:firstLine="0"/>
        <w:jc w:val="both"/>
      </w:pPr>
      <w:r>
        <w:rPr>
          <w:rStyle w:val="CharStyle3"/>
        </w:rPr>
        <w:t>д. 23А, этаж 25, помещение 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1080" w:right="0" w:firstLine="0"/>
        <w:jc w:val="both"/>
      </w:pPr>
      <w:r>
        <w:rPr>
          <w:rStyle w:val="CharStyle3"/>
        </w:rPr>
        <w:t>Дело № 031/06/106-297/2025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rStyle w:val="CharStyle15"/>
        </w:rPr>
        <w:t>На №от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59" w:lineRule="auto"/>
        <w:ind w:left="0" w:right="0" w:firstLine="0"/>
        <w:jc w:val="center"/>
      </w:pPr>
      <w:r>
        <w:rPr>
          <w:rStyle w:val="CharStyle3"/>
        </w:rPr>
        <w:t>ПРЕДПИСАНИЕ № 29</w:t>
        <w:br/>
        <w:t>об устранении нарушений законодательства Российской Федерации о контрактной системе в сфере</w:t>
        <w:br/>
        <w:t>закупок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48" w:val="left"/>
        </w:tabs>
        <w:bidi w:val="0"/>
        <w:spacing w:before="0" w:after="280"/>
        <w:ind w:left="0" w:right="0" w:firstLine="0"/>
        <w:jc w:val="both"/>
      </w:pPr>
      <w:r>
        <w:rPr>
          <w:rStyle w:val="CharStyle3"/>
        </w:rPr>
        <w:t>10.09.2025</w:t>
        <w:tab/>
        <w:t>г.Белгород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740"/>
        <w:jc w:val="both"/>
      </w:pPr>
      <w:r>
        <w:rPr>
          <w:rStyle w:val="CharStyle3"/>
        </w:rPr>
        <w:t xml:space="preserve">Комиссия Белгородского УФАС России по контролю в сфере закупок, созданная в соответствии с приказом Белгородского УФАС России от 04.09.2025 № 202/25 «Об утверждении состава комиссии по контролю в сфере закупок», (далее - Комиссия) в составе: председатель Комиссии - заместитель руководителя Управления - начальник отдела контроля закупок Белгородского УФАС России Лебедев М.А.; члены комиссии: Обухова А.М. - заместитель начальника отдела контроля закупок Белгородского УФАС России, Плехова Н.В. - ведущий специалист-эксперт отдела контроля закупок Белгородского УФАС России, при участии представителей: заказчика - ФКУ СИЗО-З УФСИН России по Белгородской области Восорова Д.С. (доверенность в деле), Миронченко О.А. (доверенность в деле), в отсутствие представителей заявителя ИП Муртузалиева М.М., рассмотрев жалобу ИП Муртузалиева М.М. на действия комиссии по осуществлению закупок при проведении электронного аукциона «Поставка почтовых товаров» (№ закупки 0326100007325000018, далее - Электронный аукцион), проведя внеплановую проверку в соответствии с пунктом 1 части 15 статьи 99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с целью устранения нарушений пункта 5 части 1 статьи 42, подпункта «а» пункта 1 части 5 статьи 49, пункта 8 части 12 статьи 48 Закона о контрактной системе, пункта 4 Постановления Правительства РФ от 08.02.2017 </w:t>
      </w:r>
      <w:r>
        <w:rPr>
          <w:rStyle w:val="CharStyle3"/>
          <w:lang w:val="en-US" w:eastAsia="en-US"/>
        </w:rPr>
        <w:t xml:space="preserve">N </w:t>
      </w:r>
      <w:r>
        <w:rPr>
          <w:rStyle w:val="CharStyle3"/>
        </w:rPr>
        <w:t>145, допущенных при проведении Электронного аукциона: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3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4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Заказчику отменить процедуру заключения контракта с победителем Электронного аукциона.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4" w:val="left"/>
        </w:tabs>
        <w:bidi w:val="0"/>
        <w:spacing w:before="0" w:after="100"/>
        <w:ind w:left="0" w:right="0" w:firstLine="740"/>
        <w:jc w:val="both"/>
      </w:pPr>
      <w:r>
        <w:rPr>
          <w:rStyle w:val="CharStyle3"/>
        </w:rPr>
        <w:t>Комиссии по осуществлению закупок отменить протокол подведения итогов определения поставщика (подрядчика, исполнителя) от 04.09.2025 № ИЭА1.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7"/>
        </w:rPr>
        <w:t xml:space="preserve">IIIII </w:t>
      </w:r>
      <w:r>
        <w:rPr>
          <w:rStyle w:val="CharStyle17"/>
          <w:lang w:val="ru-RU" w:eastAsia="ru-RU"/>
        </w:rPr>
        <w:t xml:space="preserve">НИИ </w:t>
      </w:r>
      <w:r>
        <w:rPr>
          <w:rStyle w:val="CharStyle17"/>
        </w:rPr>
        <w:t>IIIIIIII</w:t>
      </w:r>
      <w:r>
        <w:rPr>
          <w:rStyle w:val="CharStyle17"/>
          <w:lang w:val="ru-RU" w:eastAsia="ru-RU"/>
        </w:rPr>
        <w:t>11111</w:t>
      </w:r>
      <w:bookmarkEnd w:id="0"/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4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Оператору электронной площадки - ООО «РТС-тендер» (далее - Оператор электронной площадки):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8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обеспечить исполнение пунктов 1 и 2 настоящего предписания;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1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уведомить участников закупки об отмене протокола подведения итогов определения поставщика (подрядчика, исполнителя) от 04.09.2025 № ИЭА1;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4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вернуть участникам закупки ранее поданные заявки на участие в Электронном аукционе;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64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Заказчику, уполномоченному органу: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4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привести извещение о проведении Электронного аукциона в соответствие с требованиями Закона о контрактной системе с учетом решения Комиссии Белгородского УФАС России от 10.09.2025 по делу № 031/06/106-297/2025;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1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 xml:space="preserve">разместить извещение о проведении Электронного аукциона с изменениями и надлежащими документами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3"/>
          <w:lang w:val="en-US" w:eastAsia="en-US"/>
        </w:rPr>
        <w:t>www.zakupki.gov.ru</w:t>
      </w:r>
      <w:r>
        <w:fldChar w:fldCharType="end"/>
      </w:r>
      <w:r>
        <w:rPr>
          <w:rStyle w:val="CharStyle3"/>
          <w:lang w:val="en-US" w:eastAsia="en-US"/>
        </w:rPr>
        <w:t xml:space="preserve"> </w:t>
      </w:r>
      <w:r>
        <w:rPr>
          <w:rStyle w:val="CharStyle3"/>
        </w:rPr>
        <w:t>(далее - Официальный сайт);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4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назначить новую дату и время окончания срока подачи заявок на участие в закупке (такая дата не может приходиться на нерабочий день), а также разместить указанные сведения на Официальном сайте.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4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Оператору электронной площадки уведомить участников закупки, подавших заявки на участие в Электронном аукционе, о новой дате окончания срока подачи заявок на участие в Электронном аукционе.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4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Заказчику, Оператору электронной площадки, комиссии по осуществлению закупок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от 10.09.2025 по делу № 031/06/106-297/2025.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  <w:b/>
          <w:bCs/>
        </w:rPr>
        <w:t>Настоящее предписание подлежит исполнению в срок до 25.09.2025.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 xml:space="preserve">Об исполнении настоящего предписания надлежит незамедлительно уведомить Белгородское УФАС России по электронной почте </w:t>
      </w:r>
      <w:r>
        <w:fldChar w:fldCharType="begin"/>
      </w:r>
      <w:r>
        <w:rPr/>
        <w:instrText> HYPERLINK "mailto:to31@fas.gov.ru" </w:instrText>
      </w:r>
      <w:r>
        <w:fldChar w:fldCharType="separate"/>
      </w:r>
      <w:r>
        <w:rPr>
          <w:rStyle w:val="CharStyle3"/>
          <w:lang w:val="en-US" w:eastAsia="en-US"/>
        </w:rPr>
        <w:t>to31@fas.gov.ru</w:t>
      </w:r>
      <w:r>
        <w:fldChar w:fldCharType="end"/>
      </w:r>
      <w:r>
        <w:rPr>
          <w:rStyle w:val="CharStyle3"/>
          <w:lang w:val="en-US" w:eastAsia="en-US"/>
        </w:rPr>
        <w:t xml:space="preserve"> </w:t>
      </w:r>
      <w:r>
        <w:rPr>
          <w:rStyle w:val="CharStyle3"/>
          <w:b/>
          <w:bCs/>
        </w:rPr>
        <w:t xml:space="preserve">(с пометкой для Обуховой А.М.) </w:t>
      </w:r>
      <w:r>
        <w:rPr>
          <w:rStyle w:val="CharStyle3"/>
        </w:rPr>
        <w:t>с направлением подтверждающих документов в письменном виде.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66" w:lineRule="auto"/>
        <w:ind w:left="0" w:right="0" w:firstLine="720"/>
        <w:jc w:val="both"/>
      </w:pPr>
      <w:r>
        <w:rPr>
          <w:rStyle w:val="CharStyle3"/>
        </w:rPr>
        <w:t>Предписание может быть обжаловано в судебном порядке в течение трех месяцев со дня его вьщачи.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Примечание: В случае неисполнения либо ненадлежащего исполнения в установленный срок настоящего предписания Белгородское УФАС России вправе обратиться в суд с иском о понуждении к исполнению предписания.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720"/>
        <w:jc w:val="both"/>
      </w:pPr>
      <w:r>
        <w:drawing>
          <wp:anchor distT="0" distB="0" distL="114300" distR="1158875" simplePos="0" relativeHeight="125829383" behindDoc="0" locked="0" layoutInCell="1" allowOverlap="1">
            <wp:simplePos x="0" y="0"/>
            <wp:positionH relativeFrom="page">
              <wp:posOffset>3713480</wp:posOffset>
            </wp:positionH>
            <wp:positionV relativeFrom="paragraph">
              <wp:posOffset>990600</wp:posOffset>
            </wp:positionV>
            <wp:extent cx="1431290" cy="1037590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31290" cy="1037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5245100</wp:posOffset>
                </wp:positionH>
                <wp:positionV relativeFrom="paragraph">
                  <wp:posOffset>1198880</wp:posOffset>
                </wp:positionV>
                <wp:extent cx="941705" cy="69977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1705" cy="699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0"/>
                              </w:rPr>
                              <w:t>М.А. Лебедев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0"/>
                              </w:rPr>
                              <w:t>А.М. Обухова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0"/>
                              </w:rPr>
                              <w:t>Н.В. Плехова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13.pt;margin-top:94.400000000000006pt;width:74.150000000000006pt;height:55.1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0"/>
                        </w:rPr>
                        <w:t>М.А. Лебедев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0"/>
                        </w:rPr>
                        <w:t>А.М. Обухова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0"/>
                        </w:rPr>
                        <w:t>Н.В. Плехова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3"/>
        </w:rPr>
        <w:t>Невыполнение в срок законного предписания органа, осуществляющего государственный надзор (контроль), является административным правонарушением, ответственность за совершение которого предусмотрена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720"/>
        <w:jc w:val="both"/>
      </w:pPr>
      <w:r>
        <w:rPr>
          <w:rStyle w:val="CharStyle3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3"/>
        </w:rPr>
        <w:t>Члены Комиссии:</w:t>
      </w:r>
    </w:p>
    <w:sectPr>
      <w:footerReference w:type="default" r:id="rId9"/>
      <w:footerReference w:type="even" r:id="rId10"/>
      <w:footnotePr>
        <w:pos w:val="pageBottom"/>
        <w:numFmt w:val="decimal"/>
        <w:numRestart w:val="continuous"/>
      </w:footnotePr>
      <w:pgSz w:w="11900" w:h="16840"/>
      <w:pgMar w:top="1154" w:right="453" w:bottom="1206" w:left="1168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769620</wp:posOffset>
              </wp:positionH>
              <wp:positionV relativeFrom="page">
                <wp:posOffset>9839960</wp:posOffset>
              </wp:positionV>
              <wp:extent cx="654050" cy="10731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4050" cy="1073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12"/>
                              <w:sz w:val="22"/>
                              <w:szCs w:val="22"/>
                            </w:rPr>
                            <w:t>2025-2467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60.600000000000001pt;margin-top:774.80000000000007pt;width:51.5pt;height:8.4499999999999993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12"/>
                        <w:sz w:val="22"/>
                        <w:szCs w:val="22"/>
                      </w:rPr>
                      <w:t>2025-2467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771525</wp:posOffset>
              </wp:positionH>
              <wp:positionV relativeFrom="page">
                <wp:posOffset>10050145</wp:posOffset>
              </wp:positionV>
              <wp:extent cx="654050" cy="10731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4050" cy="1073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12"/>
                              <w:sz w:val="22"/>
                              <w:szCs w:val="22"/>
                            </w:rPr>
                            <w:t>2025-2467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60.75pt;margin-top:791.35000000000002pt;width:51.5pt;height:8.4499999999999993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12"/>
                        <w:sz w:val="22"/>
                        <w:szCs w:val="22"/>
                      </w:rPr>
                      <w:t>2025-2467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6493510</wp:posOffset>
              </wp:positionH>
              <wp:positionV relativeFrom="page">
                <wp:posOffset>10185400</wp:posOffset>
              </wp:positionV>
              <wp:extent cx="654050" cy="1416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4050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Style w:val="CharStyle12"/>
                              <w:rFonts w:ascii="Arial" w:eastAsia="Arial" w:hAnsi="Arial" w:cs="Arial"/>
                              <w:sz w:val="32"/>
                              <w:szCs w:val="32"/>
                            </w:rPr>
                            <w:t>005743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11.30000000000001pt;margin-top:802.pt;width:51.5pt;height:11.1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2"/>
                        <w:szCs w:val="32"/>
                      </w:rPr>
                    </w:pPr>
                    <w:r>
                      <w:rPr>
                        <w:rStyle w:val="CharStyle12"/>
                        <w:rFonts w:ascii="Arial" w:eastAsia="Arial" w:hAnsi="Arial" w:cs="Arial"/>
                        <w:sz w:val="32"/>
                        <w:szCs w:val="32"/>
                      </w:rPr>
                      <w:t>005743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Body text (2)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D2A74"/>
      <w:sz w:val="17"/>
      <w:szCs w:val="17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Body text (3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01843"/>
      <w:sz w:val="19"/>
      <w:szCs w:val="19"/>
      <w:u w:val="none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w w:val="60"/>
      <w:sz w:val="50"/>
      <w:szCs w:val="50"/>
      <w:u w:val="none"/>
      <w:lang w:val="en-US" w:eastAsia="en-US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spacing w:after="50" w:line="26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Body text (2)"/>
    <w:basedOn w:val="Normal"/>
    <w:link w:val="CharStyle7"/>
    <w:pPr>
      <w:widowControl w:val="0"/>
      <w:shd w:val="clear" w:color="auto" w:fill="auto"/>
      <w:spacing w:after="2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D2A74"/>
      <w:sz w:val="17"/>
      <w:szCs w:val="17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Body text (3)"/>
    <w:basedOn w:val="Normal"/>
    <w:link w:val="CharStyle15"/>
    <w:pPr>
      <w:widowControl w:val="0"/>
      <w:shd w:val="clear" w:color="auto" w:fill="auto"/>
      <w:spacing w:after="780"/>
      <w:ind w:firstLine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01843"/>
      <w:sz w:val="19"/>
      <w:szCs w:val="19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w w:val="60"/>
      <w:sz w:val="50"/>
      <w:szCs w:val="50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