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6.09.2025</w:t>
        <w:tab/>
      </w:r>
      <w:r>
        <w:fldChar w:fldCharType="end"/>
      </w:r>
      <w:r>
        <w:rPr>
          <w:rStyle w:val="CharStyle10"/>
        </w:rPr>
        <w:t>№ 37151/25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ГБУЗ «ДСП </w:t>
      </w:r>
      <w:r>
        <w:rPr>
          <w:rStyle w:val="CharStyle12"/>
          <w:lang w:val="en-US" w:eastAsia="en-US"/>
        </w:rPr>
        <w:t xml:space="preserve">№ 63 </w:t>
      </w:r>
      <w:r>
        <w:rPr>
          <w:rStyle w:val="CharStyle12"/>
        </w:rPr>
        <w:t xml:space="preserve">ДЗМ» </w:t>
      </w:r>
      <w:r>
        <w:fldChar w:fldCharType="begin"/>
      </w:r>
      <w:r>
        <w:rPr/>
        <w:instrText> HYPERLINK "mailto:dsp63@zdrav.mos.ru" </w:instrText>
      </w:r>
      <w:r>
        <w:fldChar w:fldCharType="separate"/>
      </w:r>
      <w:r>
        <w:rPr>
          <w:rStyle w:val="CharStyle12"/>
          <w:lang w:val="en-US" w:eastAsia="en-US"/>
        </w:rPr>
        <w:t>dsp63@zdrav.mos.ru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ООО «МК «Доктор Чехов» </w:t>
      </w:r>
      <w:r>
        <w:fldChar w:fldCharType="begin"/>
      </w:r>
      <w:r>
        <w:rPr/>
        <w:instrText> HYPERLINK "mailto:zakaz@566974.ru" </w:instrText>
      </w:r>
      <w:r>
        <w:fldChar w:fldCharType="separate"/>
      </w:r>
      <w:r>
        <w:rPr>
          <w:rStyle w:val="CharStyle12"/>
          <w:lang w:val="en-US" w:eastAsia="en-US"/>
        </w:rPr>
        <w:t>zakaz@566974.ru</w:t>
      </w:r>
      <w:r>
        <w:fldChar w:fldCharType="end"/>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2211" w:bottom="708" w:left="1293" w:header="0" w:footer="3" w:gutter="0"/>
          <w:pgNumType w:start="1"/>
          <w:cols w:num="2" w:space="720" w:equalWidth="0">
            <w:col w:w="3806" w:space="1306"/>
            <w:col w:w="3283"/>
          </w:cols>
          <w:noEndnote/>
          <w:titlePg/>
          <w:rtlGutter w:val="0"/>
          <w:docGrid w:linePitch="360"/>
        </w:sectPr>
      </w:pPr>
      <w:r>
        <w:rPr>
          <w:rStyle w:val="CharStyle12"/>
        </w:rPr>
        <w:t xml:space="preserve">АО«ЕЭТП» </w:t>
      </w:r>
      <w:r>
        <w:fldChar w:fldCharType="begin"/>
      </w:r>
      <w:r>
        <w:rPr/>
        <w:instrText> HYPERLINK "mailto:ko@roseltorg.ru" </w:instrText>
      </w:r>
      <w:r>
        <w:fldChar w:fldCharType="separate"/>
      </w:r>
      <w:r>
        <w:rPr>
          <w:rStyle w:val="CharStyle12"/>
          <w:lang w:val="en-US" w:eastAsia="en-US"/>
        </w:rPr>
        <w:t>ko@roseltorg.ru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2" w:after="8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1" w:right="0" w:bottom="777" w:left="0" w:header="0" w:footer="3" w:gutter="0"/>
          <w:cols w:space="720"/>
          <w:noEndnote/>
          <w:rtlGutter w:val="0"/>
          <w:docGrid w:linePitch="360"/>
        </w:sectPr>
      </w:pPr>
    </w:p>
    <w:p>
      <w:pPr>
        <w:pStyle w:val="Style11"/>
        <w:keepNext w:val="0"/>
        <w:keepLines w:val="0"/>
        <w:widowControl w:val="0"/>
        <w:shd w:val="clear" w:color="auto" w:fill="auto"/>
        <w:bidi w:val="0"/>
        <w:spacing w:before="0" w:after="0" w:line="233" w:lineRule="auto"/>
        <w:ind w:left="0" w:right="0" w:firstLine="0"/>
        <w:jc w:val="center"/>
      </w:pPr>
      <w:r>
        <w:rPr>
          <w:rStyle w:val="CharStyle12"/>
          <w:b/>
          <w:bCs/>
        </w:rPr>
        <w:t>РЕШЕНИЕ</w:t>
      </w:r>
    </w:p>
    <w:p>
      <w:pPr>
        <w:pStyle w:val="Style11"/>
        <w:keepNext w:val="0"/>
        <w:keepLines w:val="0"/>
        <w:widowControl w:val="0"/>
        <w:shd w:val="clear" w:color="auto" w:fill="auto"/>
        <w:tabs>
          <w:tab w:pos="8933" w:val="left"/>
        </w:tabs>
        <w:bidi w:val="0"/>
        <w:spacing w:before="0" w:after="0" w:line="233" w:lineRule="auto"/>
        <w:ind w:left="0" w:right="0" w:firstLine="0"/>
        <w:jc w:val="center"/>
      </w:pPr>
      <w:r>
        <w:rPr>
          <w:rStyle w:val="CharStyle12"/>
          <w:b/>
          <w:bCs/>
        </w:rPr>
        <w:t xml:space="preserve">по делу </w:t>
      </w:r>
      <w:r>
        <w:rPr>
          <w:rStyle w:val="CharStyle12"/>
          <w:b/>
          <w:bCs/>
          <w:lang w:val="en-US" w:eastAsia="en-US"/>
        </w:rPr>
        <w:t xml:space="preserve">№ 077/06/106-11423/2025 </w:t>
      </w:r>
      <w:r>
        <w:rPr>
          <w:rStyle w:val="CharStyle12"/>
          <w:b/>
          <w:bCs/>
        </w:rPr>
        <w:t>о нарушении</w:t>
        <w:br/>
        <w:t>законодательства о контрактной системе</w:t>
        <w:br/>
      </w:r>
      <w:r>
        <w:rPr>
          <w:rStyle w:val="CharStyle12"/>
          <w:b/>
          <w:bCs/>
          <w:lang w:val="en-US" w:eastAsia="en-US"/>
        </w:rPr>
        <w:t>11.09.2025</w:t>
        <w:tab/>
      </w:r>
      <w:r>
        <w:rPr>
          <w:rStyle w:val="CharStyle12"/>
          <w:b/>
          <w:bCs/>
        </w:rPr>
        <w:t>г. Москва</w:t>
      </w:r>
    </w:p>
    <w:p>
      <w:pPr>
        <w:pStyle w:val="Style11"/>
        <w:keepNext w:val="0"/>
        <w:keepLines w:val="0"/>
        <w:widowControl w:val="0"/>
        <w:shd w:val="clear" w:color="auto" w:fill="auto"/>
        <w:bidi w:val="0"/>
        <w:spacing w:before="0" w:after="0" w:line="233" w:lineRule="auto"/>
        <w:ind w:left="0" w:right="0" w:firstLine="64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33" w:lineRule="auto"/>
        <w:ind w:left="0" w:right="0" w:firstLine="64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33" w:lineRule="auto"/>
        <w:ind w:left="0" w:right="0" w:firstLine="640"/>
        <w:jc w:val="both"/>
      </w:pPr>
      <w:r>
        <w:rPr>
          <w:rStyle w:val="CharStyle12"/>
        </w:rPr>
        <w:t>Членов Комиссии:</w:t>
      </w:r>
    </w:p>
    <w:p>
      <w:pPr>
        <w:pStyle w:val="Style11"/>
        <w:keepNext w:val="0"/>
        <w:keepLines w:val="0"/>
        <w:widowControl w:val="0"/>
        <w:shd w:val="clear" w:color="auto" w:fill="auto"/>
        <w:bidi w:val="0"/>
        <w:spacing w:before="0" w:after="0" w:line="233" w:lineRule="auto"/>
        <w:ind w:left="0" w:right="0" w:firstLine="640"/>
        <w:jc w:val="both"/>
      </w:pPr>
      <w:r>
        <w:rPr>
          <w:rStyle w:val="CharStyle12"/>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line="233" w:lineRule="auto"/>
        <w:ind w:left="0" w:right="0" w:firstLine="640"/>
        <w:jc w:val="both"/>
      </w:pPr>
      <w:r>
        <w:rPr>
          <w:rStyle w:val="CharStyle12"/>
        </w:rPr>
        <w:t>Специалиста-эксперта отдела обжалования государственных закупок А.И. Рахматуллаева,</w:t>
      </w:r>
    </w:p>
    <w:p>
      <w:pPr>
        <w:pStyle w:val="Style11"/>
        <w:keepNext w:val="0"/>
        <w:keepLines w:val="0"/>
        <w:widowControl w:val="0"/>
        <w:shd w:val="clear" w:color="auto" w:fill="auto"/>
        <w:bidi w:val="0"/>
        <w:spacing w:before="0" w:after="0" w:line="233" w:lineRule="auto"/>
        <w:ind w:left="0" w:right="0" w:firstLine="740"/>
        <w:jc w:val="both"/>
      </w:pPr>
      <w:r>
        <w:rPr>
          <w:rStyle w:val="CharStyle12"/>
        </w:rPr>
        <w:t>рассмотрение жалобы проводилось дистанционно (посредством видео- конференц связи),</w:t>
      </w:r>
    </w:p>
    <w:p>
      <w:pPr>
        <w:pStyle w:val="Style11"/>
        <w:keepNext w:val="0"/>
        <w:keepLines w:val="0"/>
        <w:widowControl w:val="0"/>
        <w:shd w:val="clear" w:color="auto" w:fill="auto"/>
        <w:bidi w:val="0"/>
        <w:spacing w:before="0" w:after="0" w:line="233" w:lineRule="auto"/>
        <w:ind w:left="0" w:right="0" w:firstLine="740"/>
        <w:jc w:val="both"/>
      </w:pPr>
      <w:r>
        <w:rPr>
          <w:rStyle w:val="CharStyle12"/>
        </w:rPr>
        <w:t>при участии представителей</w:t>
      </w:r>
    </w:p>
    <w:p>
      <w:pPr>
        <w:pStyle w:val="Style11"/>
        <w:keepNext w:val="0"/>
        <w:keepLines w:val="0"/>
        <w:widowControl w:val="0"/>
        <w:shd w:val="clear" w:color="auto" w:fill="auto"/>
        <w:bidi w:val="0"/>
        <w:spacing w:before="0" w:after="0" w:line="233" w:lineRule="auto"/>
        <w:ind w:left="0" w:right="0" w:firstLine="740"/>
        <w:jc w:val="both"/>
      </w:pPr>
      <w:r>
        <w:rPr>
          <w:rStyle w:val="CharStyle12"/>
        </w:rPr>
        <w:t xml:space="preserve">ГБУЗ «ДСП </w:t>
      </w:r>
      <w:r>
        <w:rPr>
          <w:rStyle w:val="CharStyle12"/>
          <w:lang w:val="en-US" w:eastAsia="en-US"/>
        </w:rPr>
        <w:t xml:space="preserve">№ 63 </w:t>
      </w:r>
      <w:r>
        <w:rPr>
          <w:rStyle w:val="CharStyle12"/>
        </w:rPr>
        <w:t xml:space="preserve">ДЗМ»: Т.К. Аляутдинова (по дов. от </w:t>
      </w:r>
      <w:r>
        <w:rPr>
          <w:rStyle w:val="CharStyle12"/>
          <w:lang w:val="en-US" w:eastAsia="en-US"/>
        </w:rPr>
        <w:t xml:space="preserve">11.09.2025 </w:t>
      </w:r>
      <w:r>
        <w:rPr>
          <w:rStyle w:val="CharStyle12"/>
        </w:rPr>
        <w:t>№б/н),</w:t>
      </w:r>
    </w:p>
    <w:p>
      <w:pPr>
        <w:pStyle w:val="Style11"/>
        <w:keepNext w:val="0"/>
        <w:keepLines w:val="0"/>
        <w:widowControl w:val="0"/>
        <w:shd w:val="clear" w:color="auto" w:fill="auto"/>
        <w:bidi w:val="0"/>
        <w:spacing w:before="0" w:after="0" w:line="233" w:lineRule="auto"/>
        <w:ind w:left="0" w:right="0" w:firstLine="740"/>
        <w:jc w:val="both"/>
      </w:pPr>
      <w:r>
        <w:rPr>
          <w:rStyle w:val="CharStyle12"/>
        </w:rPr>
        <w:t xml:space="preserve">ООО «МК «Доктор Чехов»: А.Г. Горшкова (по дов. от </w:t>
      </w:r>
      <w:r>
        <w:rPr>
          <w:rStyle w:val="CharStyle12"/>
          <w:lang w:val="en-US" w:eastAsia="en-US"/>
        </w:rPr>
        <w:t>22.08.2025 №1),</w:t>
      </w:r>
    </w:p>
    <w:p>
      <w:pPr>
        <w:pStyle w:val="Style11"/>
        <w:keepNext w:val="0"/>
        <w:keepLines w:val="0"/>
        <w:widowControl w:val="0"/>
        <w:shd w:val="clear" w:color="auto" w:fill="auto"/>
        <w:bidi w:val="0"/>
        <w:spacing w:before="0" w:after="0" w:line="233" w:lineRule="auto"/>
        <w:ind w:left="0" w:right="0" w:firstLine="740"/>
        <w:jc w:val="both"/>
      </w:pPr>
      <w:r>
        <w:rPr>
          <w:rStyle w:val="CharStyle12"/>
        </w:rPr>
        <w:t xml:space="preserve">рассмотрев жалобу ООО «МК «Доктор Чехов» (далее </w:t>
      </w:r>
      <w:r>
        <w:rPr>
          <w:rStyle w:val="CharStyle12"/>
          <w:lang w:val="en-US" w:eastAsia="en-US"/>
        </w:rPr>
        <w:t xml:space="preserve">— </w:t>
      </w:r>
      <w:r>
        <w:rPr>
          <w:rStyle w:val="CharStyle12"/>
        </w:rPr>
        <w:t xml:space="preserve">Заявитель) на действия ГБУЗ «ДСП </w:t>
      </w:r>
      <w:r>
        <w:rPr>
          <w:rStyle w:val="CharStyle12"/>
          <w:lang w:val="en-US" w:eastAsia="en-US"/>
        </w:rPr>
        <w:t xml:space="preserve">№ 63 </w:t>
      </w:r>
      <w:r>
        <w:rPr>
          <w:rStyle w:val="CharStyle12"/>
        </w:rPr>
        <w:t xml:space="preserve">ДЗМ»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расходных материалов для нужд ГБУЗ «ДСП </w:t>
      </w:r>
      <w:r>
        <w:rPr>
          <w:rStyle w:val="CharStyle12"/>
          <w:lang w:val="en-US" w:eastAsia="en-US"/>
        </w:rPr>
        <w:t xml:space="preserve">№ 63 </w:t>
      </w:r>
      <w:r>
        <w:rPr>
          <w:rStyle w:val="CharStyle12"/>
        </w:rPr>
        <w:t xml:space="preserve">ДЗМ» (Закупка </w:t>
      </w:r>
      <w:r>
        <w:rPr>
          <w:rStyle w:val="CharStyle12"/>
          <w:lang w:val="en-US" w:eastAsia="en-US"/>
        </w:rPr>
        <w:t xml:space="preserve">№0373200584525000037) </w:t>
      </w:r>
      <w:r>
        <w:rPr>
          <w:rStyle w:val="CharStyle12"/>
        </w:rPr>
        <w:t xml:space="preserve">(далее </w:t>
      </w:r>
      <w:r>
        <w:rPr>
          <w:rStyle w:val="CharStyle12"/>
          <w:lang w:val="en-US" w:eastAsia="en-US"/>
        </w:rPr>
        <w:t xml:space="preserve">— </w:t>
      </w:r>
      <w:r>
        <w:rPr>
          <w:rStyle w:val="CharStyle12"/>
        </w:rPr>
        <w:t xml:space="preserve">аукцион) в соответствии с Федеральным законом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line="1" w:lineRule="exact"/>
      </w:pPr>
      <w:r>
        <w:drawing>
          <wp:anchor distT="584200" distB="0" distL="0" distR="0" simplePos="0" relativeHeight="125829378" behindDoc="0" locked="0" layoutInCell="1" allowOverlap="1">
            <wp:simplePos x="0" y="0"/>
            <wp:positionH relativeFrom="page">
              <wp:posOffset>717550</wp:posOffset>
            </wp:positionH>
            <wp:positionV relativeFrom="paragraph">
              <wp:posOffset>584200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0" w:line="23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30" w:lineRule="auto"/>
        <w:ind w:left="0" w:right="0" w:firstLine="740"/>
        <w:jc w:val="both"/>
      </w:pPr>
      <w:r>
        <w:rPr>
          <w:rStyle w:val="CharStyle12"/>
        </w:rPr>
        <w:t xml:space="preserve">В Московское УФАС России поступила жалоба Заявителя на действия комиссии по осуществлению закупок Заказчика (далее </w:t>
      </w:r>
      <w:r>
        <w:rPr>
          <w:rStyle w:val="CharStyle12"/>
          <w:lang w:val="en-US" w:eastAsia="en-US"/>
        </w:rPr>
        <w:t xml:space="preserve">- </w:t>
      </w:r>
      <w:r>
        <w:rPr>
          <w:rStyle w:val="CharStyle12"/>
        </w:rPr>
        <w:t>комиссия Заказчика) при проведении вышеуказанного аукциона.</w:t>
      </w:r>
    </w:p>
    <w:p>
      <w:pPr>
        <w:pStyle w:val="Style11"/>
        <w:keepNext w:val="0"/>
        <w:keepLines w:val="0"/>
        <w:widowControl w:val="0"/>
        <w:shd w:val="clear" w:color="auto" w:fill="auto"/>
        <w:bidi w:val="0"/>
        <w:spacing w:before="0" w:after="0" w:line="230" w:lineRule="auto"/>
        <w:ind w:left="0" w:right="0" w:firstLine="740"/>
        <w:jc w:val="both"/>
      </w:pPr>
      <w:r>
        <w:rPr>
          <w:rStyle w:val="CharStyle12"/>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line="230" w:lineRule="auto"/>
        <w:ind w:left="0" w:right="0" w:firstLine="740"/>
        <w:jc w:val="both"/>
      </w:pPr>
      <w:r>
        <w:rPr>
          <w:rStyle w:val="CharStyle12"/>
        </w:rPr>
        <w:t>Заявитель обжалует действия комиссии Заказчика, выразившиеся в неправомерном отклонении своей заявки.</w:t>
      </w:r>
    </w:p>
    <w:p>
      <w:pPr>
        <w:pStyle w:val="Style11"/>
        <w:keepNext w:val="0"/>
        <w:keepLines w:val="0"/>
        <w:widowControl w:val="0"/>
        <w:shd w:val="clear" w:color="auto" w:fill="auto"/>
        <w:bidi w:val="0"/>
        <w:spacing w:before="0" w:after="0" w:line="230" w:lineRule="auto"/>
        <w:ind w:left="0" w:right="0" w:firstLine="74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03.09.2025 </w:t>
      </w:r>
      <w:r>
        <w:rPr>
          <w:rStyle w:val="CharStyle12"/>
        </w:rPr>
        <w:t xml:space="preserve">№ИЭА1 заявка Заявителя с идентификационным номером </w:t>
      </w:r>
      <w:r>
        <w:rPr>
          <w:rStyle w:val="CharStyle12"/>
          <w:lang w:val="en-US" w:eastAsia="en-US"/>
        </w:rPr>
        <w:t xml:space="preserve">2284938 </w:t>
      </w:r>
      <w:r>
        <w:rPr>
          <w:rStyle w:val="CharStyle12"/>
        </w:rPr>
        <w:t xml:space="preserve">отклонена на следующем основании: </w:t>
      </w:r>
      <w:r>
        <w:rPr>
          <w:rStyle w:val="CharStyle12"/>
          <w:i/>
          <w:iCs/>
        </w:rPr>
        <w:t>«Отклонить заявку на участие в закупке по п.8 ч.12 ст.48 №44-ФЗ «Выявление недостоверной информации, содержащейся в заявке на участие в закупке» Заказчик установил требование в ТЗ п.2 Область применения- Для герметизации фиссур Светоотверждаемый герметик фиссур со фторидом, белый.</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 xml:space="preserve">Показания: </w:t>
      </w:r>
      <w:r>
        <w:rPr>
          <w:rStyle w:val="CharStyle12"/>
          <w:i/>
          <w:iCs/>
          <w:lang w:val="en-US" w:eastAsia="en-US"/>
        </w:rPr>
        <w:t xml:space="preserve">- </w:t>
      </w:r>
      <w:r>
        <w:rPr>
          <w:rStyle w:val="CharStyle12"/>
          <w:i/>
          <w:iCs/>
        </w:rPr>
        <w:t xml:space="preserve">герметизация фиссур и окклюзионных поверхностей зубов для профилактики кариеса </w:t>
      </w:r>
      <w:r>
        <w:rPr>
          <w:rStyle w:val="CharStyle12"/>
          <w:i/>
          <w:iCs/>
          <w:lang w:val="en-US" w:eastAsia="en-US"/>
        </w:rPr>
        <w:t xml:space="preserve">- </w:t>
      </w:r>
      <w:r>
        <w:rPr>
          <w:rStyle w:val="CharStyle12"/>
          <w:i/>
          <w:iCs/>
        </w:rPr>
        <w:t>облицовка поврежденных участков эмали</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lang w:val="en-US" w:eastAsia="en-US"/>
        </w:rPr>
        <w:t xml:space="preserve">- </w:t>
      </w:r>
      <w:r>
        <w:rPr>
          <w:rStyle w:val="CharStyle12"/>
          <w:i/>
          <w:iCs/>
        </w:rPr>
        <w:t xml:space="preserve">фиксация ортодонтических аппаратов -изоляция композитных и цементных пломб (защита от влаги) -Реставрация небольших кариозных повреждений; -Ремонт небольших дефектов в композитных и амальгамных пломбах. Участник предлагает к поставке: Фиссулайт Товарный знак </w:t>
      </w:r>
      <w:r>
        <w:rPr>
          <w:rStyle w:val="CharStyle12"/>
          <w:i/>
          <w:iCs/>
          <w:lang w:val="en-US" w:eastAsia="en-US"/>
        </w:rPr>
        <w:t xml:space="preserve">№ 227261 </w:t>
      </w:r>
      <w:r>
        <w:rPr>
          <w:rStyle w:val="CharStyle12"/>
          <w:i/>
          <w:iCs/>
        </w:rPr>
        <w:t xml:space="preserve">Материал светового отверждения для герметизации углублений и фиссур зубов «Фиссулайт» (далее по тексту </w:t>
      </w:r>
      <w:r>
        <w:rPr>
          <w:rStyle w:val="CharStyle12"/>
          <w:i/>
          <w:iCs/>
          <w:lang w:val="en-US" w:eastAsia="en-US"/>
        </w:rPr>
        <w:t xml:space="preserve">- </w:t>
      </w:r>
      <w:r>
        <w:rPr>
          <w:rStyle w:val="CharStyle12"/>
          <w:i/>
          <w:iCs/>
        </w:rPr>
        <w:t xml:space="preserve">герметик «Фиссулайт») предназначен для запечатывания фиссур и других анатомических углублений интактных зубов; п. </w:t>
      </w:r>
      <w:r>
        <w:rPr>
          <w:rStyle w:val="CharStyle12"/>
          <w:i/>
          <w:iCs/>
          <w:lang w:val="en-US" w:eastAsia="en-US"/>
        </w:rPr>
        <w:t xml:space="preserve">3 </w:t>
      </w:r>
      <w:r>
        <w:rPr>
          <w:rStyle w:val="CharStyle12"/>
          <w:i/>
          <w:iCs/>
        </w:rPr>
        <w:t xml:space="preserve">Состав Ацетат гидрокортизона </w:t>
      </w:r>
      <w:r>
        <w:rPr>
          <w:rStyle w:val="CharStyle12"/>
          <w:i/>
          <w:iCs/>
          <w:lang w:val="en-US" w:eastAsia="en-US"/>
        </w:rPr>
        <w:t xml:space="preserve">1,0 </w:t>
      </w:r>
      <w:r>
        <w:rPr>
          <w:rStyle w:val="CharStyle12"/>
          <w:i/>
          <w:iCs/>
        </w:rPr>
        <w:t>г</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 xml:space="preserve">Наполнитель: тимол йодид, сульфат бария, оксид цинка, стеарат магния </w:t>
      </w:r>
      <w:r>
        <w:rPr>
          <w:rStyle w:val="CharStyle12"/>
          <w:i/>
          <w:iCs/>
          <w:lang w:val="en-US" w:eastAsia="en-US"/>
        </w:rPr>
        <w:t xml:space="preserve">q.s.аd. </w:t>
      </w:r>
      <w:r>
        <w:rPr>
          <w:rStyle w:val="CharStyle12"/>
          <w:i/>
          <w:iCs/>
        </w:rPr>
        <w:t xml:space="preserve">Упаковка 14г порошок +10мл. Участник «Эндовит» </w:t>
      </w:r>
      <w:r>
        <w:rPr>
          <w:rStyle w:val="CharStyle12"/>
          <w:i/>
          <w:iCs/>
          <w:lang w:val="en-US" w:eastAsia="en-US"/>
        </w:rPr>
        <w:t xml:space="preserve">Сelit Dental Company </w:t>
      </w:r>
      <w:r>
        <w:rPr>
          <w:rStyle w:val="CharStyle12"/>
          <w:i/>
          <w:iCs/>
        </w:rPr>
        <w:t>В состав порошка входят: оксид цинка, рентгеноконтрастный наполнитель. В состав жидкости входят: эвгенол и тимол Форма выпуска</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 xml:space="preserve">Порошок в банке </w:t>
      </w:r>
      <w:r>
        <w:rPr>
          <w:rStyle w:val="CharStyle12"/>
          <w:i/>
          <w:iCs/>
          <w:lang w:val="en-US" w:eastAsia="en-US"/>
        </w:rPr>
        <w:t xml:space="preserve">— </w:t>
      </w:r>
      <w:r>
        <w:rPr>
          <w:rStyle w:val="CharStyle12"/>
          <w:i/>
          <w:iCs/>
        </w:rPr>
        <w:t xml:space="preserve">20г; Жидкость во флаконе </w:t>
      </w:r>
      <w:r>
        <w:rPr>
          <w:rStyle w:val="CharStyle12"/>
          <w:i/>
          <w:iCs/>
          <w:lang w:val="en-US" w:eastAsia="en-US"/>
        </w:rPr>
        <w:t xml:space="preserve">–10 </w:t>
      </w:r>
      <w:r>
        <w:rPr>
          <w:rStyle w:val="CharStyle12"/>
          <w:i/>
          <w:iCs/>
        </w:rPr>
        <w:t xml:space="preserve">мл; п. </w:t>
      </w:r>
      <w:r>
        <w:rPr>
          <w:rStyle w:val="CharStyle12"/>
          <w:i/>
          <w:iCs/>
          <w:lang w:val="en-US" w:eastAsia="en-US"/>
        </w:rPr>
        <w:t xml:space="preserve">10 </w:t>
      </w:r>
      <w:r>
        <w:rPr>
          <w:rStyle w:val="CharStyle12"/>
          <w:i/>
          <w:iCs/>
        </w:rPr>
        <w:t>Состав Порошок: оксид висмута, метиламин, Паста: эпоксибисфенол</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 xml:space="preserve">Упаковка: порошок не менее </w:t>
      </w:r>
      <w:r>
        <w:rPr>
          <w:rStyle w:val="CharStyle12"/>
          <w:i/>
          <w:iCs/>
          <w:lang w:val="en-US" w:eastAsia="en-US"/>
        </w:rPr>
        <w:t xml:space="preserve">8 </w:t>
      </w:r>
      <w:r>
        <w:rPr>
          <w:rStyle w:val="CharStyle12"/>
          <w:i/>
          <w:iCs/>
        </w:rPr>
        <w:t xml:space="preserve">г. не более </w:t>
      </w:r>
      <w:r>
        <w:rPr>
          <w:rStyle w:val="CharStyle12"/>
          <w:i/>
          <w:iCs/>
          <w:lang w:val="en-US" w:eastAsia="en-US"/>
        </w:rPr>
        <w:t xml:space="preserve">9 </w:t>
      </w:r>
      <w:r>
        <w:rPr>
          <w:rStyle w:val="CharStyle12"/>
          <w:i/>
          <w:iCs/>
        </w:rPr>
        <w:t xml:space="preserve">г., паста не менее </w:t>
      </w:r>
      <w:r>
        <w:rPr>
          <w:rStyle w:val="CharStyle12"/>
          <w:i/>
          <w:iCs/>
          <w:lang w:val="en-US" w:eastAsia="en-US"/>
        </w:rPr>
        <w:t xml:space="preserve">10 </w:t>
      </w:r>
      <w:r>
        <w:rPr>
          <w:rStyle w:val="CharStyle12"/>
          <w:i/>
          <w:iCs/>
        </w:rPr>
        <w:t xml:space="preserve">г. Участник Виэдент Товарный знак </w:t>
      </w:r>
      <w:r>
        <w:rPr>
          <w:rStyle w:val="CharStyle12"/>
          <w:i/>
          <w:iCs/>
          <w:lang w:val="en-US" w:eastAsia="en-US"/>
        </w:rPr>
        <w:t xml:space="preserve">№ 302047 </w:t>
      </w:r>
      <w:r>
        <w:rPr>
          <w:rStyle w:val="CharStyle12"/>
          <w:i/>
          <w:iCs/>
        </w:rPr>
        <w:t>Форма выпуска Порошок-жидкость</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 xml:space="preserve">Порошок </w:t>
      </w:r>
      <w:r>
        <w:rPr>
          <w:rStyle w:val="CharStyle12"/>
          <w:i/>
          <w:iCs/>
          <w:lang w:val="en-US" w:eastAsia="en-US"/>
        </w:rPr>
        <w:t xml:space="preserve">– </w:t>
      </w:r>
      <w:r>
        <w:rPr>
          <w:rStyle w:val="CharStyle12"/>
          <w:i/>
          <w:iCs/>
        </w:rPr>
        <w:t xml:space="preserve">20г Жидкость </w:t>
      </w:r>
      <w:r>
        <w:rPr>
          <w:rStyle w:val="CharStyle12"/>
          <w:i/>
          <w:iCs/>
          <w:lang w:val="en-US" w:eastAsia="en-US"/>
        </w:rPr>
        <w:t xml:space="preserve">– </w:t>
      </w:r>
      <w:r>
        <w:rPr>
          <w:rStyle w:val="CharStyle12"/>
          <w:i/>
          <w:iCs/>
        </w:rPr>
        <w:t xml:space="preserve">10мл Паста-паста Паста желтая </w:t>
      </w:r>
      <w:r>
        <w:rPr>
          <w:rStyle w:val="CharStyle12"/>
          <w:i/>
          <w:iCs/>
          <w:lang w:val="en-US" w:eastAsia="en-US"/>
        </w:rPr>
        <w:t xml:space="preserve">– </w:t>
      </w:r>
      <w:r>
        <w:rPr>
          <w:rStyle w:val="CharStyle12"/>
          <w:i/>
          <w:iCs/>
        </w:rPr>
        <w:t xml:space="preserve">4мл Паста белая </w:t>
      </w:r>
      <w:r>
        <w:rPr>
          <w:rStyle w:val="CharStyle12"/>
          <w:i/>
          <w:iCs/>
          <w:lang w:val="en-US" w:eastAsia="en-US"/>
        </w:rPr>
        <w:t xml:space="preserve">– </w:t>
      </w:r>
      <w:r>
        <w:rPr>
          <w:rStyle w:val="CharStyle12"/>
          <w:i/>
          <w:iCs/>
        </w:rPr>
        <w:t>4мл. п.12 Продукт рекомендуется для следующих процедур:</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Удаление пятен/окрашивания и зубного налета, Удаление бляшек для нанесения герметиков, Подготовка поверхности перед фиксацией/цементированием вкладок, накладок, коронок и коронок с облицовкой, Подготовка поверхности перед нанесением композиционных пломбировочных смол, Очистка перед фиксацией ортодонтических кронштейнов, Эффективное удаление бляшек и налёта у ортодонтических пациентов, Удаление налёта для определения цветового оттенка, Удаление бляшек перед обработкой фтористыми соединениями,</w:t>
      </w:r>
    </w:p>
    <w:p>
      <w:pPr>
        <w:pStyle w:val="Style11"/>
        <w:keepNext w:val="0"/>
        <w:keepLines w:val="0"/>
        <w:widowControl w:val="0"/>
        <w:shd w:val="clear" w:color="auto" w:fill="auto"/>
        <w:bidi w:val="0"/>
        <w:spacing w:before="0" w:after="0" w:line="230" w:lineRule="auto"/>
        <w:ind w:left="0" w:right="0" w:firstLine="740"/>
        <w:jc w:val="both"/>
      </w:pPr>
      <w:r>
        <w:rPr>
          <w:rStyle w:val="CharStyle12"/>
          <w:i/>
          <w:iCs/>
        </w:rPr>
        <w:t xml:space="preserve">Удаление бляшек и налёта перед процедурой отбеливания. Участник «Аэр- Клинз»-ПР0Ф Товарный знак </w:t>
      </w:r>
      <w:r>
        <w:rPr>
          <w:rStyle w:val="CharStyle12"/>
          <w:i/>
          <w:iCs/>
          <w:lang w:val="en-US" w:eastAsia="en-US"/>
        </w:rPr>
        <w:t xml:space="preserve">№ 359604 </w:t>
      </w:r>
      <w:r>
        <w:rPr>
          <w:rStyle w:val="CharStyle12"/>
          <w:i/>
          <w:iCs/>
        </w:rPr>
        <w:t>в качестве основного действующего</w:t>
      </w:r>
    </w:p>
    <w:p>
      <w:pPr>
        <w:pStyle w:val="Style11"/>
        <w:keepNext w:val="0"/>
        <w:keepLines w:val="0"/>
        <w:widowControl w:val="0"/>
        <w:shd w:val="clear" w:color="auto" w:fill="auto"/>
        <w:bidi w:val="0"/>
        <w:spacing w:before="0" w:after="0" w:line="233" w:lineRule="auto"/>
        <w:ind w:left="0" w:right="0" w:firstLine="0"/>
        <w:jc w:val="both"/>
      </w:pPr>
      <w:r>
        <w:rPr>
          <w:rStyle w:val="CharStyle12"/>
          <w:i/>
          <w:iCs/>
        </w:rPr>
        <w:t xml:space="preserve">компонента содержит гидрокарбонат натрия со средним размером частиц </w:t>
      </w:r>
      <w:r>
        <w:rPr>
          <w:rStyle w:val="CharStyle12"/>
          <w:i/>
          <w:iCs/>
          <w:lang w:val="en-US" w:eastAsia="en-US"/>
        </w:rPr>
        <w:t xml:space="preserve">65 </w:t>
      </w:r>
      <w:r>
        <w:rPr>
          <w:rStyle w:val="CharStyle12"/>
          <w:i/>
          <w:iCs/>
        </w:rPr>
        <w:t xml:space="preserve">мкм, позволяющим провести очистку при щадящем воздействии на твердые ткани зуба. Порошок имеет сладкий вкус (содержит подсластитель) и приятный освежающий запах и вкус аромата лимона или мяты, черной смородины, экзотических фруктов (тропикана), вишни. п. </w:t>
      </w:r>
      <w:r>
        <w:rPr>
          <w:rStyle w:val="CharStyle12"/>
          <w:i/>
          <w:iCs/>
          <w:lang w:val="en-US" w:eastAsia="en-US"/>
        </w:rPr>
        <w:t xml:space="preserve">14. </w:t>
      </w:r>
      <w:r>
        <w:rPr>
          <w:rStyle w:val="CharStyle12"/>
          <w:i/>
          <w:iCs/>
        </w:rPr>
        <w:t xml:space="preserve">СОСТАВ НЕМА </w:t>
      </w:r>
      <w:r>
        <w:rPr>
          <w:rStyle w:val="CharStyle12"/>
          <w:i/>
          <w:iCs/>
          <w:lang w:val="en-US" w:eastAsia="en-US"/>
        </w:rPr>
        <w:t xml:space="preserve">– (2- </w:t>
      </w:r>
      <w:r>
        <w:rPr>
          <w:rStyle w:val="CharStyle12"/>
          <w:i/>
          <w:iCs/>
        </w:rPr>
        <w:t>гидроксиэтил) метакрилат.</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lang w:val="en-US" w:eastAsia="en-US"/>
        </w:rPr>
        <w:t xml:space="preserve">Glutaraldehid (GA) – </w:t>
      </w:r>
      <w:r>
        <w:rPr>
          <w:rStyle w:val="CharStyle12"/>
          <w:i/>
          <w:iCs/>
        </w:rPr>
        <w:t xml:space="preserve">глутаровый альдегид. Дистиллированная вода. Упаковка не менее </w:t>
      </w:r>
      <w:r>
        <w:rPr>
          <w:rStyle w:val="CharStyle12"/>
          <w:i/>
          <w:iCs/>
          <w:lang w:val="en-US" w:eastAsia="en-US"/>
        </w:rPr>
        <w:t xml:space="preserve">5 </w:t>
      </w:r>
      <w:r>
        <w:rPr>
          <w:rStyle w:val="CharStyle12"/>
          <w:i/>
          <w:iCs/>
        </w:rPr>
        <w:t xml:space="preserve">мл. Участник Нанофлюор Товарный знак </w:t>
      </w:r>
      <w:r>
        <w:rPr>
          <w:rStyle w:val="CharStyle12"/>
          <w:i/>
          <w:iCs/>
          <w:lang w:val="en-US" w:eastAsia="en-US"/>
        </w:rPr>
        <w:t xml:space="preserve">№ 412399 </w:t>
      </w:r>
      <w:r>
        <w:rPr>
          <w:rStyle w:val="CharStyle12"/>
          <w:i/>
          <w:iCs/>
        </w:rPr>
        <w:t>Лак стоматологический на основе природных смол и нанодисперсного гидроксиаппатита Состав -аминофторид и фторид натрия -природная смола</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rPr>
        <w:t>-нанодисперсный коллоидный гидроксиаппатит -хлорбутанол -основа, способствующая быстрому высыханию и образованию пленки</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rPr>
        <w:t xml:space="preserve">Отсутствует НЕМА </w:t>
      </w:r>
      <w:r>
        <w:rPr>
          <w:rStyle w:val="CharStyle12"/>
          <w:i/>
          <w:iCs/>
          <w:lang w:val="en-US" w:eastAsia="en-US"/>
        </w:rPr>
        <w:t xml:space="preserve">– </w:t>
      </w:r>
      <w:r>
        <w:rPr>
          <w:rStyle w:val="CharStyle12"/>
          <w:i/>
          <w:iCs/>
        </w:rPr>
        <w:t xml:space="preserve">(2-гидроксиэтил) метакрилат. </w:t>
      </w:r>
      <w:r>
        <w:rPr>
          <w:rStyle w:val="CharStyle12"/>
          <w:i/>
          <w:iCs/>
          <w:lang w:val="en-US" w:eastAsia="en-US"/>
        </w:rPr>
        <w:t xml:space="preserve">Glutaraldehid (GA) – </w:t>
      </w:r>
      <w:r>
        <w:rPr>
          <w:rStyle w:val="CharStyle12"/>
          <w:i/>
          <w:iCs/>
        </w:rPr>
        <w:t xml:space="preserve">глутаровый альдегид. Дистиллированная вода. п </w:t>
      </w:r>
      <w:r>
        <w:rPr>
          <w:rStyle w:val="CharStyle12"/>
          <w:i/>
          <w:iCs/>
          <w:lang w:val="en-US" w:eastAsia="en-US"/>
        </w:rPr>
        <w:t xml:space="preserve">18 </w:t>
      </w:r>
      <w:r>
        <w:rPr>
          <w:rStyle w:val="CharStyle12"/>
          <w:i/>
          <w:iCs/>
        </w:rPr>
        <w:t xml:space="preserve">и </w:t>
      </w:r>
      <w:r>
        <w:rPr>
          <w:rStyle w:val="CharStyle12"/>
          <w:i/>
          <w:iCs/>
          <w:lang w:val="en-US" w:eastAsia="en-US"/>
        </w:rPr>
        <w:t xml:space="preserve">19 </w:t>
      </w:r>
      <w:r>
        <w:rPr>
          <w:rStyle w:val="CharStyle12"/>
          <w:i/>
          <w:iCs/>
        </w:rPr>
        <w:t xml:space="preserve">Без фтора и анисово й отдушки. </w:t>
      </w:r>
      <w:r>
        <w:rPr>
          <w:rStyle w:val="CharStyle12"/>
          <w:i/>
          <w:iCs/>
          <w:lang w:val="en-US" w:eastAsia="en-US"/>
        </w:rPr>
        <w:t xml:space="preserve">. </w:t>
      </w:r>
      <w:r>
        <w:rPr>
          <w:rStyle w:val="CharStyle12"/>
          <w:i/>
          <w:iCs/>
        </w:rPr>
        <w:t xml:space="preserve">Участник </w:t>
      </w:r>
      <w:r>
        <w:rPr>
          <w:rStyle w:val="CharStyle12"/>
          <w:i/>
          <w:iCs/>
          <w:lang w:val="en-US" w:eastAsia="en-US"/>
        </w:rPr>
        <w:t xml:space="preserve">Kurin One Kagayaki </w:t>
      </w:r>
      <w:r>
        <w:rPr>
          <w:rStyle w:val="CharStyle12"/>
          <w:i/>
          <w:iCs/>
        </w:rPr>
        <w:t xml:space="preserve">Товарный знак </w:t>
      </w:r>
      <w:r>
        <w:rPr>
          <w:rStyle w:val="CharStyle12"/>
          <w:i/>
          <w:iCs/>
          <w:lang w:val="en-US" w:eastAsia="en-US"/>
        </w:rPr>
        <w:t xml:space="preserve">№ 727896 </w:t>
      </w:r>
      <w:r>
        <w:rPr>
          <w:rStyle w:val="CharStyle12"/>
          <w:i/>
          <w:iCs/>
        </w:rPr>
        <w:t xml:space="preserve">Вкус: анис. Упаковка: туба 50гр содержит анисовую отдушку, что может вызывать рвотный рефлекс у детей; П. </w:t>
      </w:r>
      <w:r>
        <w:rPr>
          <w:rStyle w:val="CharStyle12"/>
          <w:i/>
          <w:iCs/>
          <w:lang w:val="en-US" w:eastAsia="en-US"/>
        </w:rPr>
        <w:t xml:space="preserve">20 </w:t>
      </w:r>
      <w:r>
        <w:rPr>
          <w:rStyle w:val="CharStyle12"/>
          <w:i/>
          <w:iCs/>
        </w:rPr>
        <w:t xml:space="preserve">СОСТАВ Диоксид кремния </w:t>
      </w:r>
      <w:r>
        <w:rPr>
          <w:rStyle w:val="CharStyle12"/>
          <w:i/>
          <w:iCs/>
          <w:lang w:val="en-US" w:eastAsia="en-US"/>
        </w:rPr>
        <w:t xml:space="preserve">43,44 </w:t>
      </w:r>
      <w:r>
        <w:rPr>
          <w:rStyle w:val="CharStyle12"/>
          <w:i/>
          <w:iCs/>
        </w:rPr>
        <w:t xml:space="preserve">гСиликат истолченного циркония </w:t>
      </w:r>
      <w:r>
        <w:rPr>
          <w:rStyle w:val="CharStyle12"/>
          <w:i/>
          <w:iCs/>
          <w:lang w:val="en-US" w:eastAsia="en-US"/>
        </w:rPr>
        <w:t xml:space="preserve">13,50 </w:t>
      </w:r>
      <w:r>
        <w:rPr>
          <w:rStyle w:val="CharStyle12"/>
          <w:i/>
          <w:iCs/>
        </w:rPr>
        <w:t xml:space="preserve">г35% растворформальдегида </w:t>
      </w:r>
      <w:r>
        <w:rPr>
          <w:rStyle w:val="CharStyle12"/>
          <w:i/>
          <w:iCs/>
          <w:lang w:val="en-US" w:eastAsia="en-US"/>
        </w:rPr>
        <w:t xml:space="preserve">0,10 </w:t>
      </w:r>
      <w:r>
        <w:rPr>
          <w:rStyle w:val="CharStyle12"/>
          <w:i/>
          <w:iCs/>
        </w:rPr>
        <w:t>г</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lang w:val="en-US" w:eastAsia="en-US"/>
        </w:rPr>
        <w:t xml:space="preserve">Polir Clean Celit Dental Company </w:t>
      </w:r>
      <w:r>
        <w:rPr>
          <w:rStyle w:val="CharStyle12"/>
          <w:i/>
          <w:iCs/>
        </w:rPr>
        <w:t xml:space="preserve">Товарный знак </w:t>
      </w:r>
      <w:r>
        <w:rPr>
          <w:rStyle w:val="CharStyle12"/>
          <w:i/>
          <w:iCs/>
          <w:lang w:val="en-US" w:eastAsia="en-US"/>
        </w:rPr>
        <w:t xml:space="preserve">№ 770722 </w:t>
      </w:r>
      <w:r>
        <w:rPr>
          <w:rStyle w:val="CharStyle12"/>
          <w:i/>
          <w:iCs/>
        </w:rPr>
        <w:t xml:space="preserve">Отсутствует в составе: Диоксид кремния </w:t>
      </w:r>
      <w:r>
        <w:rPr>
          <w:rStyle w:val="CharStyle12"/>
          <w:i/>
          <w:iCs/>
          <w:lang w:val="en-US" w:eastAsia="en-US"/>
        </w:rPr>
        <w:t xml:space="preserve">35% </w:t>
      </w:r>
      <w:r>
        <w:rPr>
          <w:rStyle w:val="CharStyle12"/>
          <w:i/>
          <w:iCs/>
        </w:rPr>
        <w:t xml:space="preserve">раствор формальдегида; П. </w:t>
      </w:r>
      <w:r>
        <w:rPr>
          <w:rStyle w:val="CharStyle12"/>
          <w:i/>
          <w:iCs/>
          <w:lang w:val="en-US" w:eastAsia="en-US"/>
        </w:rPr>
        <w:t xml:space="preserve">30 </w:t>
      </w:r>
      <w:r>
        <w:rPr>
          <w:rStyle w:val="CharStyle12"/>
          <w:i/>
          <w:iCs/>
        </w:rPr>
        <w:t xml:space="preserve">В составе: паста Йодоформ </w:t>
      </w:r>
      <w:r>
        <w:rPr>
          <w:rStyle w:val="CharStyle12"/>
          <w:i/>
          <w:iCs/>
          <w:lang w:val="en-US" w:eastAsia="en-US"/>
        </w:rPr>
        <w:t xml:space="preserve">15-16 </w:t>
      </w:r>
      <w:r>
        <w:rPr>
          <w:rStyle w:val="CharStyle12"/>
          <w:i/>
          <w:iCs/>
        </w:rPr>
        <w:t xml:space="preserve">г. Бутиловая соль двуаминобензойной кислоты </w:t>
      </w:r>
      <w:r>
        <w:rPr>
          <w:rStyle w:val="CharStyle12"/>
          <w:i/>
          <w:iCs/>
          <w:lang w:val="en-US" w:eastAsia="en-US"/>
        </w:rPr>
        <w:t xml:space="preserve">25,1-26,0 </w:t>
      </w:r>
      <w:r>
        <w:rPr>
          <w:rStyle w:val="CharStyle12"/>
          <w:i/>
          <w:iCs/>
        </w:rPr>
        <w:t xml:space="preserve">г., Эвгенол </w:t>
      </w:r>
      <w:r>
        <w:rPr>
          <w:rStyle w:val="CharStyle12"/>
          <w:i/>
          <w:iCs/>
          <w:lang w:val="en-US" w:eastAsia="en-US"/>
        </w:rPr>
        <w:t xml:space="preserve">12,5-13,7 </w:t>
      </w:r>
      <w:r>
        <w:rPr>
          <w:rStyle w:val="CharStyle12"/>
          <w:i/>
          <w:iCs/>
        </w:rPr>
        <w:t xml:space="preserve">г. Эксципиент до </w:t>
      </w:r>
      <w:r>
        <w:rPr>
          <w:rStyle w:val="CharStyle12"/>
          <w:i/>
          <w:iCs/>
          <w:lang w:val="en-US" w:eastAsia="en-US"/>
        </w:rPr>
        <w:t xml:space="preserve">100,0 </w:t>
      </w:r>
      <w:r>
        <w:rPr>
          <w:rStyle w:val="CharStyle12"/>
          <w:i/>
          <w:iCs/>
        </w:rPr>
        <w:t xml:space="preserve">г. жгутики </w:t>
      </w:r>
      <w:r>
        <w:rPr>
          <w:rStyle w:val="CharStyle12"/>
          <w:i/>
          <w:iCs/>
          <w:lang w:val="en-US" w:eastAsia="en-US"/>
        </w:rPr>
        <w:t xml:space="preserve">25 </w:t>
      </w:r>
      <w:r>
        <w:rPr>
          <w:rStyle w:val="CharStyle12"/>
          <w:i/>
          <w:iCs/>
        </w:rPr>
        <w:t xml:space="preserve">г. гигроскопической ваты, пропитанные </w:t>
      </w:r>
      <w:r>
        <w:rPr>
          <w:rStyle w:val="CharStyle12"/>
          <w:i/>
          <w:iCs/>
          <w:lang w:val="en-US" w:eastAsia="en-US"/>
        </w:rPr>
        <w:t xml:space="preserve">100 </w:t>
      </w:r>
      <w:r>
        <w:rPr>
          <w:rStyle w:val="CharStyle12"/>
          <w:i/>
          <w:iCs/>
        </w:rPr>
        <w:t xml:space="preserve">г вышеописанной пасты Участник Альванес Товарный знак </w:t>
      </w:r>
      <w:r>
        <w:rPr>
          <w:rStyle w:val="CharStyle12"/>
          <w:i/>
          <w:iCs/>
          <w:lang w:val="en-US" w:eastAsia="en-US"/>
        </w:rPr>
        <w:t xml:space="preserve">№ </w:t>
      </w:r>
      <w:r>
        <w:rPr>
          <w:rStyle w:val="CharStyle12"/>
          <w:i/>
          <w:iCs/>
        </w:rPr>
        <w:t>233191Состав пасты -аминокапроновая кислота</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rPr>
        <w:t>-гидрохлорид лидокаина -цетримид -гелеобразователь -прополис -пчелиный воскресенье-йодоформ</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rPr>
        <w:t xml:space="preserve">Отсутствуют в составе -Бутиловая соль двуаминобензойной кислоты </w:t>
      </w:r>
      <w:r>
        <w:rPr>
          <w:rStyle w:val="CharStyle12"/>
          <w:i/>
          <w:iCs/>
          <w:lang w:val="en-US" w:eastAsia="en-US"/>
        </w:rPr>
        <w:t>25,1</w:t>
        <w:softHyphen/>
        <w:t xml:space="preserve">26,0 </w:t>
      </w:r>
      <w:r>
        <w:rPr>
          <w:rStyle w:val="CharStyle12"/>
          <w:i/>
          <w:iCs/>
        </w:rPr>
        <w:t xml:space="preserve">г., -Эвгенол </w:t>
      </w:r>
      <w:r>
        <w:rPr>
          <w:rStyle w:val="CharStyle12"/>
          <w:i/>
          <w:iCs/>
          <w:lang w:val="en-US" w:eastAsia="en-US"/>
        </w:rPr>
        <w:t xml:space="preserve">12,5-13,7 </w:t>
      </w:r>
      <w:r>
        <w:rPr>
          <w:rStyle w:val="CharStyle12"/>
          <w:i/>
          <w:iCs/>
        </w:rPr>
        <w:t xml:space="preserve">г. -Эксципиент до </w:t>
      </w:r>
      <w:r>
        <w:rPr>
          <w:rStyle w:val="CharStyle12"/>
          <w:i/>
          <w:iCs/>
          <w:lang w:val="en-US" w:eastAsia="en-US"/>
        </w:rPr>
        <w:t xml:space="preserve">100,0 </w:t>
      </w:r>
      <w:r>
        <w:rPr>
          <w:rStyle w:val="CharStyle12"/>
          <w:i/>
          <w:iCs/>
        </w:rPr>
        <w:t xml:space="preserve">г. жгутики </w:t>
      </w:r>
      <w:r>
        <w:rPr>
          <w:rStyle w:val="CharStyle12"/>
          <w:i/>
          <w:iCs/>
          <w:lang w:val="en-US" w:eastAsia="en-US"/>
        </w:rPr>
        <w:t xml:space="preserve">25 </w:t>
      </w:r>
      <w:r>
        <w:rPr>
          <w:rStyle w:val="CharStyle12"/>
          <w:i/>
          <w:iCs/>
        </w:rPr>
        <w:t xml:space="preserve">г. гигроскопической ваты, пропитанные </w:t>
      </w:r>
      <w:r>
        <w:rPr>
          <w:rStyle w:val="CharStyle12"/>
          <w:i/>
          <w:iCs/>
          <w:lang w:val="en-US" w:eastAsia="en-US"/>
        </w:rPr>
        <w:t xml:space="preserve">100 </w:t>
      </w:r>
      <w:r>
        <w:rPr>
          <w:rStyle w:val="CharStyle12"/>
          <w:i/>
          <w:iCs/>
        </w:rPr>
        <w:t xml:space="preserve">г вышеописанной пасты; П </w:t>
      </w:r>
      <w:r>
        <w:rPr>
          <w:rStyle w:val="CharStyle12"/>
          <w:i/>
          <w:iCs/>
          <w:lang w:val="en-US" w:eastAsia="en-US"/>
        </w:rPr>
        <w:t xml:space="preserve">.31 </w:t>
      </w:r>
      <w:r>
        <w:rPr>
          <w:rStyle w:val="CharStyle12"/>
          <w:i/>
          <w:iCs/>
        </w:rPr>
        <w:t xml:space="preserve">В составе содержатся: фтористый натрий- 2,70г, фосфорная кислота- 0,8-1,00г, сахарин- ОДг, спирт- 3,0г, ксантановая камедь- 1,5г, очищенная вода в количестве достаточном для 100г, 100мл геля содержат в пределах 1,2-1,25г активного фтора участник ФторАсепт Товарный знак </w:t>
      </w:r>
      <w:r>
        <w:rPr>
          <w:rStyle w:val="CharStyle12"/>
          <w:i/>
          <w:iCs/>
          <w:lang w:val="en-US" w:eastAsia="en-US"/>
        </w:rPr>
        <w:t xml:space="preserve">№ </w:t>
      </w:r>
      <w:r>
        <w:rPr>
          <w:rStyle w:val="CharStyle12"/>
          <w:i/>
          <w:iCs/>
        </w:rPr>
        <w:t>397514Гель ФторАсепт содержит -аминофторид -фторид натрия -хлоргексидин</w:t>
      </w:r>
    </w:p>
    <w:p>
      <w:pPr>
        <w:pStyle w:val="Style11"/>
        <w:keepNext w:val="0"/>
        <w:keepLines w:val="0"/>
        <w:widowControl w:val="0"/>
        <w:shd w:val="clear" w:color="auto" w:fill="auto"/>
        <w:bidi w:val="0"/>
        <w:spacing w:before="0" w:after="0" w:line="233" w:lineRule="auto"/>
        <w:ind w:left="0" w:right="0" w:firstLine="760"/>
        <w:jc w:val="both"/>
      </w:pPr>
      <w:r>
        <w:rPr>
          <w:rStyle w:val="CharStyle12"/>
          <w:i/>
          <w:iCs/>
        </w:rPr>
        <w:t xml:space="preserve">-природный бетаин -натуральные загустители Полностью разнится состав; П </w:t>
      </w:r>
      <w:r>
        <w:rPr>
          <w:rStyle w:val="CharStyle12"/>
          <w:i/>
          <w:iCs/>
          <w:lang w:val="en-US" w:eastAsia="en-US"/>
        </w:rPr>
        <w:t xml:space="preserve">.32 </w:t>
      </w:r>
      <w:r>
        <w:rPr>
          <w:rStyle w:val="CharStyle12"/>
          <w:i/>
          <w:iCs/>
        </w:rPr>
        <w:t xml:space="preserve">участник Кальцесил Товарный знак </w:t>
      </w:r>
      <w:r>
        <w:rPr>
          <w:rStyle w:val="CharStyle12"/>
          <w:i/>
          <w:iCs/>
          <w:lang w:val="en-US" w:eastAsia="en-US"/>
        </w:rPr>
        <w:t xml:space="preserve">№ 215250 </w:t>
      </w:r>
      <w:r>
        <w:rPr>
          <w:rStyle w:val="CharStyle12"/>
          <w:i/>
          <w:iCs/>
        </w:rPr>
        <w:t xml:space="preserve">Является двухкомпонентным материалов, что подразумевает ручное замешивание В составе отсутствют ионы цинка; П. </w:t>
      </w:r>
      <w:r>
        <w:rPr>
          <w:rStyle w:val="CharStyle12"/>
          <w:i/>
          <w:iCs/>
          <w:lang w:val="en-US" w:eastAsia="en-US"/>
        </w:rPr>
        <w:t xml:space="preserve">50 - 52 </w:t>
      </w:r>
      <w:r>
        <w:rPr>
          <w:rStyle w:val="CharStyle12"/>
          <w:i/>
          <w:iCs/>
        </w:rPr>
        <w:t xml:space="preserve">Время смешивания в интервале не менее </w:t>
      </w:r>
      <w:r>
        <w:rPr>
          <w:rStyle w:val="CharStyle12"/>
          <w:i/>
          <w:iCs/>
          <w:lang w:val="en-US" w:eastAsia="en-US"/>
        </w:rPr>
        <w:t xml:space="preserve">40 </w:t>
      </w:r>
      <w:r>
        <w:rPr>
          <w:rStyle w:val="CharStyle12"/>
          <w:i/>
          <w:iCs/>
        </w:rPr>
        <w:t xml:space="preserve">и не более </w:t>
      </w:r>
      <w:r>
        <w:rPr>
          <w:rStyle w:val="CharStyle12"/>
          <w:i/>
          <w:iCs/>
          <w:lang w:val="en-US" w:eastAsia="en-US"/>
        </w:rPr>
        <w:t xml:space="preserve">50 </w:t>
      </w:r>
      <w:r>
        <w:rPr>
          <w:rStyle w:val="CharStyle12"/>
          <w:i/>
          <w:iCs/>
        </w:rPr>
        <w:t xml:space="preserve">сек Участник Беласт Товарный знак </w:t>
      </w:r>
      <w:r>
        <w:rPr>
          <w:rStyle w:val="CharStyle12"/>
          <w:i/>
          <w:iCs/>
          <w:lang w:val="en-US" w:eastAsia="en-US"/>
        </w:rPr>
        <w:t xml:space="preserve">№ 253129 </w:t>
      </w:r>
      <w:r>
        <w:rPr>
          <w:rStyle w:val="CharStyle12"/>
          <w:i/>
          <w:iCs/>
        </w:rPr>
        <w:t xml:space="preserve">Время смешивания препарата </w:t>
      </w:r>
      <w:r>
        <w:rPr>
          <w:rStyle w:val="CharStyle12"/>
          <w:i/>
          <w:iCs/>
          <w:lang w:val="en-US" w:eastAsia="en-US"/>
        </w:rPr>
        <w:t xml:space="preserve">30 </w:t>
      </w:r>
      <w:r>
        <w:rPr>
          <w:rStyle w:val="CharStyle12"/>
          <w:i/>
          <w:iCs/>
        </w:rPr>
        <w:t>сек, что меньше требуемого»</w:t>
      </w:r>
      <w:r>
        <w:rPr>
          <w:rStyle w:val="CharStyle12"/>
        </w:rPr>
        <w:t>.</w:t>
      </w:r>
    </w:p>
    <w:p>
      <w:pPr>
        <w:pStyle w:val="Style11"/>
        <w:keepNext w:val="0"/>
        <w:keepLines w:val="0"/>
        <w:widowControl w:val="0"/>
        <w:shd w:val="clear" w:color="auto" w:fill="auto"/>
        <w:bidi w:val="0"/>
        <w:spacing w:before="0" w:after="0" w:line="233" w:lineRule="auto"/>
        <w:ind w:left="0" w:right="0" w:firstLine="760"/>
        <w:jc w:val="both"/>
      </w:pPr>
      <w:r>
        <w:rPr>
          <w:rStyle w:val="CharStyle12"/>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П.1 ч.1 ст.33 Закона о контрактной системе установлено, что Заказчик в случаях, предусмотренных Законом о контрактной системе, при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ч.2 ст.33 Закона о контрактной системе описание объекта закупки в соответствии с требованиями, указанными в части </w:t>
      </w:r>
      <w:r>
        <w:rPr>
          <w:rStyle w:val="CharStyle12"/>
          <w:lang w:val="en-US" w:eastAsia="en-US"/>
        </w:rPr>
        <w:t xml:space="preserve">1 </w:t>
      </w:r>
      <w:r>
        <w:rPr>
          <w:rStyle w:val="CharStyle12"/>
        </w:rPr>
        <w:t>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Заказчиком закупаются необходимые к поставке товары, при этом в составе структурированной формы извещения установлены требования к таким товарам, в частности: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п.«Материал стоматологический пломбировочный композитный светового отверждения: Идентификатор: </w:t>
      </w:r>
      <w:r>
        <w:rPr>
          <w:rStyle w:val="CharStyle12"/>
          <w:lang w:val="en-US" w:eastAsia="en-US"/>
        </w:rPr>
        <w:t>189744274»:</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герметизации фиссур»;</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«Форма выпуска: Шприц с предварительно загруженным материалом»</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п.«Материал стоматологический пломбировочный композитный светового отверждения: Идентификатор: </w:t>
      </w:r>
      <w:r>
        <w:rPr>
          <w:rStyle w:val="CharStyle12"/>
          <w:lang w:val="en-US" w:eastAsia="en-US"/>
        </w:rPr>
        <w:t>189744278»:</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прямых реставраций фронтальных и жевательных зубов, включая окклюзионную поверхность»;</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«Объем материала: </w:t>
      </w:r>
      <w:r>
        <w:rPr>
          <w:rStyle w:val="CharStyle12"/>
          <w:i/>
          <w:iCs/>
          <w:lang w:val="en-US" w:eastAsia="en-US"/>
        </w:rPr>
        <w:t xml:space="preserve">≥ 3.8 </w:t>
      </w:r>
      <w:r>
        <w:rPr>
          <w:rStyle w:val="CharStyle12"/>
          <w:i/>
          <w:iCs/>
        </w:rPr>
        <w:t>Кубический сантиметр; миллилитр»;</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«Форма выпуска: Шприц с предварительно загруженным материалом»;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«Требования к свойствам изделия: Рентгеноконтрастность»</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п.«Материал пломбировочный эндодонтический: Идентификатор: </w:t>
      </w:r>
      <w:r>
        <w:rPr>
          <w:rStyle w:val="CharStyle12"/>
          <w:lang w:val="en-US" w:eastAsia="en-US"/>
        </w:rPr>
        <w:t>189744282»:</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Твердеющая субстанция, используемая в эндодонтии для постоянной пломбировки корневых каналов»;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20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«Состав материала: Не содержит серебро»</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п.«Порошок абразивный стоматологический: Идентификатор: </w:t>
      </w:r>
      <w:r>
        <w:rPr>
          <w:rStyle w:val="CharStyle12"/>
          <w:lang w:val="en-US" w:eastAsia="en-US"/>
        </w:rPr>
        <w:t>189744284»:</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полировки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«Масса: </w:t>
      </w:r>
      <w:r>
        <w:rPr>
          <w:rStyle w:val="CharStyle12"/>
          <w:i/>
          <w:iCs/>
          <w:lang w:val="en-US" w:eastAsia="en-US"/>
        </w:rPr>
        <w:t xml:space="preserve">≥ 300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«Размер частиц, мкм: </w:t>
      </w:r>
      <w:r>
        <w:rPr>
          <w:rStyle w:val="CharStyle12"/>
          <w:i/>
          <w:iCs/>
          <w:lang w:val="en-US" w:eastAsia="en-US"/>
        </w:rPr>
        <w:t>≥ 40»;</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п.«Покрытие дентальное, для уменьшения чувствительности зубов: Идентификатор: </w:t>
      </w:r>
      <w:r>
        <w:rPr>
          <w:rStyle w:val="CharStyle12"/>
          <w:lang w:val="en-US" w:eastAsia="en-US"/>
        </w:rPr>
        <w:t>189744286»:</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При лечении повышенной чувствительности твердых тканей»;</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«Форма выпуска: Жидкость»;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п.«Средство для чистки зубов: Идентификатор: </w:t>
      </w:r>
      <w:r>
        <w:rPr>
          <w:rStyle w:val="CharStyle12"/>
          <w:lang w:val="en-US" w:eastAsia="en-US"/>
        </w:rPr>
        <w:t>189744290»:</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конечного полирования композитных реставраций для фронтальной и жевательной групп зубов, а также виниров; Для предварительной полировки пломб из золота, амальгамы и композитов»;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«Масса пасты: </w:t>
      </w:r>
      <w:r>
        <w:rPr>
          <w:rStyle w:val="CharStyle12"/>
          <w:i/>
          <w:iCs/>
          <w:lang w:val="en-US" w:eastAsia="en-US"/>
        </w:rPr>
        <w:t xml:space="preserve">≥ 50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20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 Без фтора»;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«Требования к комплектации: Полировочная паста»</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п.«Средство для чистки зубов: Идентификатор: </w:t>
      </w:r>
      <w:r>
        <w:rPr>
          <w:rStyle w:val="CharStyle12"/>
          <w:lang w:val="en-US" w:eastAsia="en-US"/>
        </w:rPr>
        <w:t>189744291»:</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конечного полирования композитных реставраций для фронтальной и жевательной групп зубов, а также виниров; Для предварительной полировки пломб из золота, амальгамы и композитов»;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«Масса пасты: </w:t>
      </w:r>
      <w:r>
        <w:rPr>
          <w:rStyle w:val="CharStyle12"/>
          <w:i/>
          <w:iCs/>
          <w:lang w:val="en-US" w:eastAsia="en-US"/>
        </w:rPr>
        <w:t xml:space="preserve">≥ 45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20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 Без фтора»;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«Требования к комплектации: Полировочная паста»</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п.«Средство для чистки зубов: Идентификатор: </w:t>
      </w:r>
      <w:r>
        <w:rPr>
          <w:rStyle w:val="CharStyle12"/>
          <w:lang w:val="en-US" w:eastAsia="en-US"/>
        </w:rPr>
        <w:t>189744292»:</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профессиональной очистки зубов перед изготовлением композитных реставраций, удаления зубного налета, пигментаций, в т. ч. налета курильщика, полирования поверхности зубов и реставраций на завершающем этапе профессиональной чистки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 Истолченный цирконий; Диоксид кремния»</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п.«Средство парадонтологическое клиническое: Идентификатор </w:t>
      </w:r>
      <w:r>
        <w:rPr>
          <w:rStyle w:val="CharStyle12"/>
          <w:lang w:val="en-US" w:eastAsia="en-US"/>
        </w:rPr>
        <w:t>189744302»:</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купирования луночкового кровотечения при удалении зубов, обработке зубных лунок, выравнивании гребнеобразных альвеолярных отростков, при кюретаже пародонтальных карманов, гингивэктомии и снятии зубного камня»;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«Масса: </w:t>
      </w:r>
      <w:r>
        <w:rPr>
          <w:rStyle w:val="CharStyle12"/>
          <w:i/>
          <w:iCs/>
          <w:lang w:val="en-US" w:eastAsia="en-US"/>
        </w:rPr>
        <w:t xml:space="preserve">≥ 10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«Форма выпуска: Паста»</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п.«Покрытие дентальное, для уменьшения чувствительности зубов Идентификатор: </w:t>
      </w:r>
      <w:r>
        <w:rPr>
          <w:rStyle w:val="CharStyle12"/>
          <w:lang w:val="en-US" w:eastAsia="en-US"/>
        </w:rPr>
        <w:t>189744303»:</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При лечении повышенной чувствительности твердых тканей; Для местного применения для профилактики кариеса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«Масса: </w:t>
      </w:r>
      <w:r>
        <w:rPr>
          <w:rStyle w:val="CharStyle12"/>
          <w:i/>
          <w:iCs/>
          <w:lang w:val="en-US" w:eastAsia="en-US"/>
        </w:rPr>
        <w:t xml:space="preserve">≥ 125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24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«Форма выпуска: Гель»</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п.«Материал защитный для пульпы зуба: Идентификатор: </w:t>
      </w:r>
      <w:r>
        <w:rPr>
          <w:rStyle w:val="CharStyle12"/>
          <w:lang w:val="en-US" w:eastAsia="en-US"/>
        </w:rPr>
        <w:t>189744304»:</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Подкладочный материал химического отверждения»;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24 </w:t>
      </w:r>
      <w:r>
        <w:rPr>
          <w:rStyle w:val="CharStyle12"/>
          <w:i/>
          <w:iCs/>
        </w:rPr>
        <w:t>Месяц»</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п.«Материал стоматологический слепочный силиконовый: Идентификатор </w:t>
      </w:r>
      <w:r>
        <w:rPr>
          <w:rStyle w:val="CharStyle12"/>
          <w:lang w:val="en-US" w:eastAsia="en-US"/>
        </w:rPr>
        <w:t>189744322»:</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использования в различных техниках снятия слепков; Для С-силиконов»;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40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«Объем: </w:t>
      </w:r>
      <w:r>
        <w:rPr>
          <w:rStyle w:val="CharStyle12"/>
          <w:i/>
          <w:iCs/>
          <w:lang w:val="en-US" w:eastAsia="en-US"/>
        </w:rPr>
        <w:t xml:space="preserve">≥ 910 </w:t>
      </w:r>
      <w:r>
        <w:rPr>
          <w:rStyle w:val="CharStyle12"/>
          <w:i/>
          <w:iCs/>
        </w:rPr>
        <w:t>Кубический сантиметр; миллилитр»;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«Требования к свойствам изделия: Высокая вязкость»</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п.«Материал стоматологический слепочный силиконовый: Идентификатор </w:t>
      </w:r>
      <w:r>
        <w:rPr>
          <w:rStyle w:val="CharStyle12"/>
          <w:lang w:val="en-US" w:eastAsia="en-US"/>
        </w:rPr>
        <w:t>189744323»:</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использования в различных техниках снятия слепков; Для С-силиконов»;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«Требования к свойствам изделия: Высокая вязкость»</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п.«Материал стоматологический слепочный силиконовый: Идентификатор: </w:t>
      </w:r>
      <w:r>
        <w:rPr>
          <w:rStyle w:val="CharStyle12"/>
          <w:lang w:val="en-US" w:eastAsia="en-US"/>
        </w:rPr>
        <w:t>189744324»:</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использования в различных техниках снятия слепков; Для С-силиконов»;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 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«Объем: </w:t>
      </w:r>
      <w:r>
        <w:rPr>
          <w:rStyle w:val="CharStyle12"/>
          <w:i/>
          <w:iCs/>
          <w:lang w:val="en-US" w:eastAsia="en-US"/>
        </w:rPr>
        <w:t xml:space="preserve">≥ 60 </w:t>
      </w:r>
      <w:r>
        <w:rPr>
          <w:rStyle w:val="CharStyle12"/>
          <w:i/>
          <w:iCs/>
        </w:rPr>
        <w:t>Кубический сантиметр; миллилитр»;</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«Требования к свойствам изделия: Высокая вязкость»</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п.2 ч.1 ст. </w:t>
      </w:r>
      <w:r>
        <w:rPr>
          <w:rStyle w:val="CharStyle12"/>
          <w:lang w:val="en-US" w:eastAsia="en-US"/>
        </w:rPr>
        <w:t xml:space="preserve">43 </w:t>
      </w:r>
      <w:r>
        <w:rPr>
          <w:rStyle w:val="CharStyle12"/>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1"/>
        <w:keepNext w:val="0"/>
        <w:keepLines w:val="0"/>
        <w:widowControl w:val="0"/>
        <w:numPr>
          <w:ilvl w:val="0"/>
          <w:numId w:val="1"/>
        </w:numPr>
        <w:shd w:val="clear" w:color="auto" w:fill="auto"/>
        <w:tabs>
          <w:tab w:pos="1098" w:val="left"/>
        </w:tabs>
        <w:bidi w:val="0"/>
        <w:spacing w:before="0" w:after="0" w:line="240" w:lineRule="auto"/>
        <w:ind w:left="0" w:right="0" w:firstLine="700"/>
        <w:jc w:val="both"/>
      </w:pPr>
      <w:r>
        <w:rPr>
          <w:rStyle w:val="CharStyle12"/>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12"/>
          <w:lang w:val="en-US" w:eastAsia="en-US"/>
        </w:rPr>
        <w:t xml:space="preserve">2 </w:t>
      </w:r>
      <w:r>
        <w:rPr>
          <w:rStyle w:val="CharStyle12"/>
        </w:rPr>
        <w:t xml:space="preserve">ст. </w:t>
      </w:r>
      <w:r>
        <w:rPr>
          <w:rStyle w:val="CharStyle12"/>
          <w:lang w:val="en-US" w:eastAsia="en-US"/>
        </w:rPr>
        <w:t xml:space="preserve">33 </w:t>
      </w:r>
      <w:r>
        <w:rPr>
          <w:rStyle w:val="CharStyle12"/>
        </w:rPr>
        <w:t>Закона о контрактной системе,товарный знак (при наличии у товара товарного знака);</w:t>
      </w:r>
    </w:p>
    <w:p>
      <w:pPr>
        <w:pStyle w:val="Style11"/>
        <w:keepNext w:val="0"/>
        <w:keepLines w:val="0"/>
        <w:widowControl w:val="0"/>
        <w:numPr>
          <w:ilvl w:val="0"/>
          <w:numId w:val="1"/>
        </w:numPr>
        <w:shd w:val="clear" w:color="auto" w:fill="auto"/>
        <w:tabs>
          <w:tab w:pos="1117" w:val="left"/>
        </w:tabs>
        <w:bidi w:val="0"/>
        <w:spacing w:before="0" w:after="0" w:line="240" w:lineRule="auto"/>
        <w:ind w:left="0" w:right="0" w:firstLine="700"/>
        <w:jc w:val="both"/>
      </w:pPr>
      <w:r>
        <w:rPr>
          <w:rStyle w:val="CharStyle12"/>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12"/>
          <w:lang w:val="en-US" w:eastAsia="en-US"/>
        </w:rPr>
        <w:t xml:space="preserve">2 </w:t>
      </w:r>
      <w:r>
        <w:rPr>
          <w:rStyle w:val="CharStyle12"/>
        </w:rPr>
        <w:t xml:space="preserve">ст. </w:t>
      </w:r>
      <w:r>
        <w:rPr>
          <w:rStyle w:val="CharStyle12"/>
          <w:lang w:val="en-US" w:eastAsia="en-US"/>
        </w:rPr>
        <w:t xml:space="preserve">43 </w:t>
      </w:r>
      <w:r>
        <w:rPr>
          <w:rStyle w:val="CharStyle12"/>
        </w:rPr>
        <w:t>Закона о контрактной системе;</w:t>
      </w:r>
    </w:p>
    <w:p>
      <w:pPr>
        <w:pStyle w:val="Style11"/>
        <w:keepNext w:val="0"/>
        <w:keepLines w:val="0"/>
        <w:widowControl w:val="0"/>
        <w:numPr>
          <w:ilvl w:val="0"/>
          <w:numId w:val="1"/>
        </w:numPr>
        <w:shd w:val="clear" w:color="auto" w:fill="auto"/>
        <w:tabs>
          <w:tab w:pos="1107" w:val="left"/>
        </w:tabs>
        <w:bidi w:val="0"/>
        <w:spacing w:before="0" w:after="0" w:line="240" w:lineRule="auto"/>
        <w:ind w:left="0" w:right="0" w:firstLine="700"/>
        <w:jc w:val="both"/>
      </w:pPr>
      <w:r>
        <w:rPr>
          <w:rStyle w:val="CharStyle12"/>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1"/>
        <w:keepNext w:val="0"/>
        <w:keepLines w:val="0"/>
        <w:widowControl w:val="0"/>
        <w:numPr>
          <w:ilvl w:val="0"/>
          <w:numId w:val="1"/>
        </w:numPr>
        <w:shd w:val="clear" w:color="auto" w:fill="auto"/>
        <w:tabs>
          <w:tab w:pos="1088" w:val="left"/>
        </w:tabs>
        <w:bidi w:val="0"/>
        <w:spacing w:before="0" w:after="0" w:line="240" w:lineRule="auto"/>
        <w:ind w:left="0" w:right="0" w:firstLine="700"/>
        <w:jc w:val="both"/>
      </w:pPr>
      <w:r>
        <w:rPr>
          <w:rStyle w:val="CharStyle12"/>
        </w:rPr>
        <w:t xml:space="preserve">с учетом положений ч. </w:t>
      </w:r>
      <w:r>
        <w:rPr>
          <w:rStyle w:val="CharStyle12"/>
          <w:lang w:val="en-US" w:eastAsia="en-US"/>
        </w:rPr>
        <w:t xml:space="preserve">2 </w:t>
      </w:r>
      <w:r>
        <w:rPr>
          <w:rStyle w:val="CharStyle12"/>
        </w:rPr>
        <w:t xml:space="preserve">ст. </w:t>
      </w:r>
      <w:r>
        <w:rPr>
          <w:rStyle w:val="CharStyle12"/>
          <w:lang w:val="en-US" w:eastAsia="en-US"/>
        </w:rPr>
        <w:t xml:space="preserve">43 </w:t>
      </w:r>
      <w:r>
        <w:rPr>
          <w:rStyle w:val="CharStyle12"/>
        </w:rPr>
        <w:t xml:space="preserve">Закона о контрактной системе предложение по критериям, предусмотренным п. </w:t>
      </w:r>
      <w:r>
        <w:rPr>
          <w:rStyle w:val="CharStyle12"/>
          <w:lang w:val="en-US" w:eastAsia="en-US"/>
        </w:rPr>
        <w:t xml:space="preserve">2 </w:t>
      </w:r>
      <w:r>
        <w:rPr>
          <w:rStyle w:val="CharStyle12"/>
        </w:rPr>
        <w:t xml:space="preserve">и (или) </w:t>
      </w:r>
      <w:r>
        <w:rPr>
          <w:rStyle w:val="CharStyle12"/>
          <w:lang w:val="en-US" w:eastAsia="en-US"/>
        </w:rPr>
        <w:t xml:space="preserve">3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32 </w:t>
      </w:r>
      <w:r>
        <w:rPr>
          <w:rStyle w:val="CharStyle12"/>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1"/>
        <w:keepNext w:val="0"/>
        <w:keepLines w:val="0"/>
        <w:widowControl w:val="0"/>
        <w:numPr>
          <w:ilvl w:val="0"/>
          <w:numId w:val="1"/>
        </w:numPr>
        <w:shd w:val="clear" w:color="auto" w:fill="auto"/>
        <w:tabs>
          <w:tab w:pos="1117" w:val="left"/>
        </w:tabs>
        <w:bidi w:val="0"/>
        <w:spacing w:before="0" w:after="0" w:line="240" w:lineRule="auto"/>
        <w:ind w:left="0" w:right="0" w:firstLine="700"/>
        <w:jc w:val="both"/>
      </w:pPr>
      <w:r>
        <w:rPr>
          <w:rStyle w:val="CharStyle12"/>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при подаче заявки Заявитель представил в заявке следующие сведения по предлагаемым товарам, в том числе: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п.2 «Материал стоматологический пломбировочный композитный светового отверждения»: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герметизации фиссур»;</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«Форма выпуска: Шприц с предварительно загруженным материалом»</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п.3 «Материал стоматологический пломбировочный композитный светового отверждения»: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прямых реставраций фронтальных и жевательных зубов, включая окклюзионную поверхность»;</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«Объем материала: </w:t>
      </w:r>
      <w:r>
        <w:rPr>
          <w:rStyle w:val="CharStyle12"/>
          <w:i/>
          <w:iCs/>
          <w:lang w:val="en-US" w:eastAsia="en-US"/>
        </w:rPr>
        <w:t xml:space="preserve">4.5 </w:t>
      </w:r>
      <w:r>
        <w:rPr>
          <w:rStyle w:val="CharStyle12"/>
          <w:i/>
          <w:iCs/>
        </w:rPr>
        <w:t>Кубический сантиметр; миллилитр»;</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«Форма выпуска: Шприц с предварительно загруженным материалом»;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«Требования к свойствам изделия: Рентгеноконтрастность»</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п.10 «Материал пломбировочный эндодонтический»:</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Твердеющая субстанция, используемая в эндодонтии для постоянной пломбировки корневых каналов»;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20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«Состав материала: Не содержит серебро»</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 п.12 «Порошок абразивный стоматологический: Идентификатор: </w:t>
      </w:r>
      <w:r>
        <w:rPr>
          <w:rStyle w:val="CharStyle12"/>
          <w:lang w:val="en-US" w:eastAsia="en-US"/>
        </w:rPr>
        <w:t>189744284»:</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полировки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«Масса: </w:t>
      </w:r>
      <w:r>
        <w:rPr>
          <w:rStyle w:val="CharStyle12"/>
          <w:i/>
          <w:iCs/>
          <w:lang w:val="en-US" w:eastAsia="en-US"/>
        </w:rPr>
        <w:t xml:space="preserve">300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«Размер частиц, мкм: </w:t>
      </w:r>
      <w:r>
        <w:rPr>
          <w:rStyle w:val="CharStyle12"/>
          <w:i/>
          <w:iCs/>
          <w:lang w:val="en-US" w:eastAsia="en-US"/>
        </w:rPr>
        <w:t>65»;</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п.14 «Покрытие дентальное, для уменьшения чувствительности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При лечении повышенной чувствительности твердых тканей»;</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«Форма выпуска: Жидкость»;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п.18 «Средство для чистки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конечного полирования композитных реставраций для фронтальной и жевательной групп зубов, а также виниров; Для предварительной полировки пломб из золота, амальгамы и композитов»;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«Масса пасты: </w:t>
      </w:r>
      <w:r>
        <w:rPr>
          <w:rStyle w:val="CharStyle12"/>
          <w:i/>
          <w:iCs/>
          <w:lang w:val="en-US" w:eastAsia="en-US"/>
        </w:rPr>
        <w:t xml:space="preserve">50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20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«Состав: Без фтора»;</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«Требования к комплектации: Полировочная паста»</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п.19 «Средство для чистки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конечного полирования композитных реставраций для фронтальной и жевательной групп зубов, а также виниров; Для предварительной полировки пломб из золота, амальгамы и композитов»;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«Масса пасты: </w:t>
      </w:r>
      <w:r>
        <w:rPr>
          <w:rStyle w:val="CharStyle12"/>
          <w:i/>
          <w:iCs/>
          <w:lang w:val="en-US" w:eastAsia="en-US"/>
        </w:rPr>
        <w:t xml:space="preserve">≥ 45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20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«Состав: Без фтора»;</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«Требования к комплектации: Полировочная паста»</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п.20 «Средство для чистки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 Для профессиональной очистки зубов перед изготовлением композитных реставраций, удаления зубного налета, пигментаций, в т. ч. налета курильщика, полирования поверхности зубов и реставраций на завершающем этапе профессиональной чистки зубов»;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631" w:right="535" w:bottom="777" w:left="1084" w:header="0" w:footer="3" w:gutter="0"/>
          <w:cols w:space="720"/>
          <w:noEndnote/>
          <w:rtlGutter w:val="0"/>
          <w:docGrid w:linePitch="360"/>
        </w:sectPr>
      </w:pPr>
      <w:r>
        <w:rPr>
          <w:rStyle w:val="CharStyle12"/>
          <w:i/>
          <w:iCs/>
        </w:rPr>
        <w:t>«Состав: Истолченный цирконий; Диоксид кремния»</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п.30 «Средство парадонтологическое клиническое»:</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купирования луночкового кровотечения при удалении зубов, обработке зубных лунок, выравнивании гребнеобразных альвеолярных отростков, при кюретаже пародонтальных карманов, гингивэктомии и снятии зубного камня»;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«Масса: </w:t>
      </w:r>
      <w:r>
        <w:rPr>
          <w:rStyle w:val="CharStyle12"/>
          <w:i/>
          <w:iCs/>
          <w:lang w:val="en-US" w:eastAsia="en-US"/>
        </w:rPr>
        <w:t xml:space="preserve">20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«Форма выпуска: Паста»</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п.31«Покрытие дентальное, для уменьшения чувствительности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При лечении повышенной чувствительности твердых тканей; Для местного применения для профилактики кариеса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«Масса: </w:t>
      </w:r>
      <w:r>
        <w:rPr>
          <w:rStyle w:val="CharStyle12"/>
          <w:i/>
          <w:iCs/>
          <w:lang w:val="en-US" w:eastAsia="en-US"/>
        </w:rPr>
        <w:t xml:space="preserve">130 </w:t>
      </w:r>
      <w:r>
        <w:rPr>
          <w:rStyle w:val="CharStyle12"/>
          <w:i/>
          <w:iCs/>
        </w:rPr>
        <w:t>Грамм»;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24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«Форма выпуска: Гель»</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п.32 «Материал защитный для пульпы зуба: Идентификатор: </w:t>
      </w:r>
      <w:r>
        <w:rPr>
          <w:rStyle w:val="CharStyle12"/>
          <w:lang w:val="en-US" w:eastAsia="en-US"/>
        </w:rPr>
        <w:t>189744304»:</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Подкладочный материал химического отверждения»;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24 </w:t>
      </w:r>
      <w:r>
        <w:rPr>
          <w:rStyle w:val="CharStyle12"/>
          <w:i/>
          <w:iCs/>
        </w:rPr>
        <w:t>Месяц»</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п.50 «Материал стоматологический слепочный силиконовый»: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использования в различных техниках снятия слепков; Для С-силиконов»;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40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«Объем: </w:t>
      </w:r>
      <w:r>
        <w:rPr>
          <w:rStyle w:val="CharStyle12"/>
          <w:i/>
          <w:iCs/>
          <w:lang w:val="en-US" w:eastAsia="en-US"/>
        </w:rPr>
        <w:t xml:space="preserve">910 </w:t>
      </w:r>
      <w:r>
        <w:rPr>
          <w:rStyle w:val="CharStyle12"/>
          <w:i/>
          <w:iCs/>
        </w:rPr>
        <w:t>Кубический сантиметр; миллилитр»;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«Требования к свойствам изделия: Высокая вязкость»</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п.51 «Материал стоматологический слепочный силиконовый»: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использования в различных техниках снятия слепков; Для С-силиконов»;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«Требования к свойствам изделия: Высокая вязкость»</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п.52 «Материал стоматологический слепочный силиконовый»: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использования в различных техниках снятия слепков; Для С-силиконов»;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«Минимальный остаточный срок годности на дату поставки: </w:t>
      </w:r>
      <w:r>
        <w:rPr>
          <w:rStyle w:val="CharStyle12"/>
          <w:i/>
          <w:iCs/>
          <w:lang w:val="en-US" w:eastAsia="en-US"/>
        </w:rPr>
        <w:t xml:space="preserve">30 </w:t>
      </w:r>
      <w:r>
        <w:rPr>
          <w:rStyle w:val="CharStyle12"/>
          <w:i/>
          <w:iCs/>
        </w:rPr>
        <w:t>Месяц»;</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«Объем: </w:t>
      </w:r>
      <w:r>
        <w:rPr>
          <w:rStyle w:val="CharStyle12"/>
          <w:i/>
          <w:iCs/>
          <w:lang w:val="en-US" w:eastAsia="en-US"/>
        </w:rPr>
        <w:t xml:space="preserve">60 </w:t>
      </w:r>
      <w:r>
        <w:rPr>
          <w:rStyle w:val="CharStyle12"/>
          <w:i/>
          <w:iCs/>
        </w:rPr>
        <w:t>Кубический сантиметр; миллилитр»;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«Требования к свойствам изделия: Высокая вязкость»</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ч. </w:t>
      </w:r>
      <w:r>
        <w:rPr>
          <w:rStyle w:val="CharStyle12"/>
          <w:lang w:val="en-US" w:eastAsia="en-US"/>
        </w:rPr>
        <w:t xml:space="preserve">1 </w:t>
      </w:r>
      <w:r>
        <w:rPr>
          <w:rStyle w:val="CharStyle12"/>
        </w:rPr>
        <w:t xml:space="preserve">ст. </w:t>
      </w:r>
      <w:r>
        <w:rPr>
          <w:rStyle w:val="CharStyle12"/>
          <w:lang w:val="en-US" w:eastAsia="en-US"/>
        </w:rPr>
        <w:t xml:space="preserve">106 </w:t>
      </w:r>
      <w:r>
        <w:rPr>
          <w:rStyle w:val="CharStyle12"/>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заседании Комиссии Управления представитель Заказчика пояснил, что Заявителем не указаны характеристики, установленные в файле «Техническое задание»,ввиду чего заявка подлежала отклонению.</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1"/>
        <w:keepNext w:val="0"/>
        <w:keepLines w:val="0"/>
        <w:widowControl w:val="0"/>
        <w:shd w:val="clear" w:color="auto" w:fill="auto"/>
        <w:bidi w:val="0"/>
        <w:spacing w:before="0" w:after="0" w:line="295"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162" w:right="550" w:bottom="653" w:left="1082" w:header="0" w:footer="225" w:gutter="0"/>
          <w:cols w:space="720"/>
          <w:noEndnote/>
          <w:rtlGutter w:val="0"/>
          <w:docGrid w:linePitch="360"/>
        </w:sectPr>
      </w:pPr>
      <w:r>
        <w:rPr>
          <w:rStyle w:val="CharStyle12"/>
        </w:rPr>
        <w:t xml:space="preserve">В составе жалобы Заявитель указывает на неправомерность действий комиссии Заказчика, выразившиеся в отклонения его заявки по причине </w:t>
      </w:r>
      <w:r>
        <w:rPr>
          <w:rStyle w:val="CharStyle12"/>
          <w:sz w:val="24"/>
          <w:szCs w:val="24"/>
          <w:lang w:val="en-US" w:eastAsia="en-US"/>
        </w:rPr>
        <w:t>2025-42045</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предоставления недостоверной информации, поскольку все характеристики, указанные Заказчиком в протоколе подведения итогов определения поставщика, отсутствуют в структурированном описании объекта закупки и, следовательно, не являются частью описания объекта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Комиссия Управления отмечает, что в составе структурированной формы извещения об осуществлении закупки отсутствуют параметры, установленные Заказчиком в файле «Техническое задание» для рассматриваемого товара, например по п.2 «Материал стоматологический пломбировочный композитный светового отверждения»: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«Светоотверждаемый герметик фиссур со фторидом, белый. Показания:</w:t>
      </w:r>
    </w:p>
    <w:p>
      <w:pPr>
        <w:pStyle w:val="Style11"/>
        <w:keepNext w:val="0"/>
        <w:keepLines w:val="0"/>
        <w:widowControl w:val="0"/>
        <w:numPr>
          <w:ilvl w:val="0"/>
          <w:numId w:val="3"/>
        </w:numPr>
        <w:shd w:val="clear" w:color="auto" w:fill="auto"/>
        <w:tabs>
          <w:tab w:pos="966" w:val="left"/>
        </w:tabs>
        <w:bidi w:val="0"/>
        <w:spacing w:before="0" w:after="0" w:line="240" w:lineRule="auto"/>
        <w:ind w:left="0" w:right="0" w:firstLine="700"/>
        <w:jc w:val="both"/>
      </w:pPr>
      <w:r>
        <w:rPr>
          <w:rStyle w:val="CharStyle12"/>
          <w:i/>
          <w:iCs/>
        </w:rPr>
        <w:t>герметизация фиссур и окклюзионных поверхностей зубов для профилактики кариеса</w:t>
      </w:r>
    </w:p>
    <w:p>
      <w:pPr>
        <w:pStyle w:val="Style11"/>
        <w:keepNext w:val="0"/>
        <w:keepLines w:val="0"/>
        <w:widowControl w:val="0"/>
        <w:numPr>
          <w:ilvl w:val="0"/>
          <w:numId w:val="3"/>
        </w:numPr>
        <w:shd w:val="clear" w:color="auto" w:fill="auto"/>
        <w:tabs>
          <w:tab w:pos="1550" w:val="left"/>
        </w:tabs>
        <w:bidi w:val="0"/>
        <w:spacing w:before="0" w:after="0" w:line="240" w:lineRule="auto"/>
        <w:ind w:left="0" w:right="0" w:firstLine="700"/>
        <w:jc w:val="both"/>
      </w:pPr>
      <w:r>
        <w:rPr>
          <w:rStyle w:val="CharStyle12"/>
          <w:i/>
          <w:iCs/>
        </w:rPr>
        <w:t>облицовка поврежденных участков эмали</w:t>
      </w:r>
    </w:p>
    <w:p>
      <w:pPr>
        <w:pStyle w:val="Style11"/>
        <w:keepNext w:val="0"/>
        <w:keepLines w:val="0"/>
        <w:widowControl w:val="0"/>
        <w:numPr>
          <w:ilvl w:val="0"/>
          <w:numId w:val="3"/>
        </w:numPr>
        <w:shd w:val="clear" w:color="auto" w:fill="auto"/>
        <w:tabs>
          <w:tab w:pos="1550" w:val="left"/>
        </w:tabs>
        <w:bidi w:val="0"/>
        <w:spacing w:before="0" w:after="0" w:line="240" w:lineRule="auto"/>
        <w:ind w:left="0" w:right="0" w:firstLine="700"/>
        <w:jc w:val="both"/>
      </w:pPr>
      <w:r>
        <w:rPr>
          <w:rStyle w:val="CharStyle12"/>
          <w:i/>
          <w:iCs/>
        </w:rPr>
        <w:t>фиксация ортодонтических аппаратов</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-изоляция композитных и цементных пломб (защита от влаги)</w:t>
      </w:r>
    </w:p>
    <w:p>
      <w:pPr>
        <w:pStyle w:val="Style11"/>
        <w:keepNext w:val="0"/>
        <w:keepLines w:val="0"/>
        <w:widowControl w:val="0"/>
        <w:numPr>
          <w:ilvl w:val="0"/>
          <w:numId w:val="3"/>
        </w:numPr>
        <w:shd w:val="clear" w:color="auto" w:fill="auto"/>
        <w:tabs>
          <w:tab w:pos="1550" w:val="left"/>
        </w:tabs>
        <w:bidi w:val="0"/>
        <w:spacing w:before="0" w:after="0" w:line="240" w:lineRule="auto"/>
        <w:ind w:left="0" w:right="0" w:firstLine="700"/>
        <w:jc w:val="both"/>
      </w:pPr>
      <w:r>
        <w:rPr>
          <w:rStyle w:val="CharStyle12"/>
          <w:i/>
          <w:iCs/>
        </w:rPr>
        <w:t>Реставрация небольших кариозных повреждений;</w:t>
      </w:r>
    </w:p>
    <w:p>
      <w:pPr>
        <w:pStyle w:val="Style11"/>
        <w:keepNext w:val="0"/>
        <w:keepLines w:val="0"/>
        <w:widowControl w:val="0"/>
        <w:numPr>
          <w:ilvl w:val="0"/>
          <w:numId w:val="3"/>
        </w:numPr>
        <w:shd w:val="clear" w:color="auto" w:fill="auto"/>
        <w:tabs>
          <w:tab w:pos="1550" w:val="left"/>
        </w:tabs>
        <w:bidi w:val="0"/>
        <w:spacing w:before="0" w:after="0" w:line="240" w:lineRule="auto"/>
        <w:ind w:left="0" w:right="0" w:firstLine="700"/>
        <w:jc w:val="both"/>
      </w:pPr>
      <w:r>
        <w:rPr>
          <w:rStyle w:val="CharStyle12"/>
          <w:i/>
          <w:iCs/>
        </w:rPr>
        <w:t>Ремонт небольших дефектов в композитных и амальгамных пломбах.</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Упаковка: </w:t>
      </w:r>
      <w:r>
        <w:rPr>
          <w:rStyle w:val="CharStyle12"/>
          <w:i/>
          <w:iCs/>
          <w:lang w:val="en-US" w:eastAsia="en-US"/>
        </w:rPr>
        <w:t xml:space="preserve">2 </w:t>
      </w:r>
      <w:r>
        <w:rPr>
          <w:rStyle w:val="CharStyle12"/>
          <w:i/>
          <w:iCs/>
        </w:rPr>
        <w:t xml:space="preserve">шприца х </w:t>
      </w:r>
      <w:r>
        <w:rPr>
          <w:rStyle w:val="CharStyle12"/>
          <w:i/>
          <w:iCs/>
          <w:lang w:val="en-US" w:eastAsia="en-US"/>
        </w:rPr>
        <w:t xml:space="preserve">2 </w:t>
      </w:r>
      <w:r>
        <w:rPr>
          <w:rStyle w:val="CharStyle12"/>
          <w:i/>
          <w:iCs/>
        </w:rPr>
        <w:t>г</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Остаточный срок годности не менее </w:t>
      </w:r>
      <w:r>
        <w:rPr>
          <w:rStyle w:val="CharStyle12"/>
          <w:i/>
          <w:iCs/>
          <w:lang w:val="en-US" w:eastAsia="en-US"/>
        </w:rPr>
        <w:t xml:space="preserve">24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пп.«а» п.4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абз.2 п.1 Постановления Правительства РФ от </w:t>
      </w:r>
      <w:r>
        <w:rPr>
          <w:rStyle w:val="CharStyle12"/>
          <w:lang w:val="en-US" w:eastAsia="en-US"/>
        </w:rPr>
        <w:t xml:space="preserve">27.01.2022 №60 </w:t>
      </w:r>
      <w:r>
        <w:rPr>
          <w:rStyle w:val="CharStyle12"/>
        </w:rPr>
        <w: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документы, сформированные без использования единой информационной системы, размещаются в единой информационной системе в форме электронного документа или образа бумажного документа, при этом если информация, содержащаяся в таких электронных документах и (или) образах, не соответствует информации, сформированной с использованием единой информационной системы, приоритет имеет информация, сформированная с использованием единой информационной системы.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Комиссия Управления отмечает, что в составе структурированной формы извещения информация о части требований к характеристикам закупаемого товара, указанных в электронном документе «техническое задание», отсутствует.</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характеристики, не указанные Заказчиком в структурированной форме извещения не подлежат предоставлению в составе заявки на участие в закупки.</w:t>
      </w:r>
    </w:p>
    <w:p>
      <w:pPr>
        <w:pStyle w:val="Style11"/>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46" w:bottom="1157" w:left="1106" w:header="0" w:footer="3" w:gutter="0"/>
          <w:cols w:space="720"/>
          <w:noEndnote/>
          <w:rtlGutter w:val="0"/>
          <w:docGrid w:linePitch="360"/>
        </w:sectPr>
      </w:pPr>
      <w:r>
        <w:rPr>
          <w:rStyle w:val="CharStyle12"/>
        </w:rPr>
        <w:t>Исходя из вышеизложенного Комиссия Управления приходит к выводу, что в составе заявки участника закупки ООО «МК «Доктор Чехов» сведения о характеристиках предлагаемого товара представлены в соответствии с требованиями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также считает необходимым отметить, что под недостоверными сведениями следует понимать сведения, не соответствующие действительности.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свою очередь, исходя из правовой позиции Верховного Суда Российской Федерации, изложенной в постановлении от </w:t>
      </w:r>
      <w:r>
        <w:rPr>
          <w:rStyle w:val="CharStyle12"/>
          <w:lang w:val="en-US" w:eastAsia="en-US"/>
        </w:rPr>
        <w:t xml:space="preserve">24.02.2005 № 3 </w:t>
      </w:r>
      <w:r>
        <w:rPr>
          <w:rStyle w:val="CharStyle12"/>
        </w:rPr>
        <w:t xml:space="preserve">«О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w:t>
      </w:r>
      <w:r>
        <w:rPr>
          <w:rStyle w:val="CharStyle12"/>
          <w:lang w:val="en-US" w:eastAsia="en-US"/>
        </w:rPr>
        <w:t>7).</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Кроме того, предоставленное заказчику право отклонить поданную заявку в случае обнаружения в ней недостоверных сведений свидетельствует о том, что располагать такой информацией заказчик должен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как следует из материалов дела, поданная Заявителем заявка в части оспариваемых сведений требованиям извещения соответствовала. Каких-либо оснований сомневаться в достоверности представленных в них сведений в контексте ч.5 ст.10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 Доказательств обратного представителем Заказчика не представлено.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этом в целях соблюдения баланса частных и публичных интересов (на необходимость соблюдения которого указал Конституционный Суд Российской Федерации в постановлении от </w:t>
      </w:r>
      <w:r>
        <w:rPr>
          <w:rStyle w:val="CharStyle12"/>
          <w:lang w:val="en-US" w:eastAsia="en-US"/>
        </w:rPr>
        <w:t xml:space="preserve">29.03.2011 № </w:t>
      </w:r>
      <w:r>
        <w:rPr>
          <w:rStyle w:val="CharStyle12"/>
        </w:rPr>
        <w:t>2-П) и принципа стабильности публичных правоотношений, но также и принципов добросовестной реализации прав и законных интересов (ч.3 ст.1 ГК РФ), недопустимости извлечения преимуществ из своего незаконного или недобросовестного поведения (ч.4 ст.1 ГК РФ), недопустимости злоупотребления правом (ч.1 ст.10 ГК РФ) для принятия решения об отклонении заявки участника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Заказчиком не представлено документов и сведений подтверждающих предоставление Заявителем в составе заявки недостоверных сведений.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Комиссия Управления приходит к выводу, что у комиссии по осуществлению закупок Заказчика отсутствовали правовые основания для отклонения заявки участника закупки.</w:t>
      </w:r>
    </w:p>
    <w:p>
      <w:pPr>
        <w:pStyle w:val="Style11"/>
        <w:keepNext w:val="0"/>
        <w:keepLines w:val="0"/>
        <w:widowControl w:val="0"/>
        <w:shd w:val="clear" w:color="auto" w:fill="auto"/>
        <w:bidi w:val="0"/>
        <w:spacing w:before="0" w:after="0" w:line="240" w:lineRule="auto"/>
        <w:ind w:left="0" w:right="0" w:firstLine="700"/>
        <w:jc w:val="both"/>
        <w:rPr>
          <w:sz w:val="24"/>
          <w:szCs w:val="24"/>
        </w:rPr>
      </w:pPr>
      <w:r>
        <w:rPr>
          <w:rStyle w:val="CharStyle12"/>
        </w:rPr>
        <w:t xml:space="preserve">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2"/>
          <w:lang w:val="en-US" w:eastAsia="en-US"/>
        </w:rPr>
        <w:t xml:space="preserve">4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49 </w:t>
      </w:r>
      <w:r>
        <w:rPr>
          <w:rStyle w:val="CharStyle12"/>
        </w:rPr>
        <w:t xml:space="preserve">Закона о контрактной </w:t>
      </w:r>
      <w:r>
        <w:rPr>
          <w:rStyle w:val="CharStyle12"/>
          <w:sz w:val="24"/>
          <w:szCs w:val="24"/>
          <w:lang w:val="en-US" w:eastAsia="en-US"/>
        </w:rPr>
        <w:t>2025-42045</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2"/>
          <w:lang w:val="en-US" w:eastAsia="en-US"/>
        </w:rPr>
        <w:t xml:space="preserve">1 - 8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5"/>
        </w:numPr>
        <w:shd w:val="clear" w:color="auto" w:fill="auto"/>
        <w:tabs>
          <w:tab w:pos="1068" w:val="left"/>
        </w:tabs>
        <w:bidi w:val="0"/>
        <w:spacing w:before="0" w:after="0" w:line="240" w:lineRule="auto"/>
        <w:ind w:left="0" w:right="0" w:firstLine="700"/>
        <w:jc w:val="both"/>
      </w:pPr>
      <w:r>
        <w:rPr>
          <w:rStyle w:val="CharStyle12"/>
        </w:rPr>
        <w:t xml:space="preserve">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 </w:t>
      </w:r>
      <w:r>
        <w:rPr>
          <w:rStyle w:val="CharStyle12"/>
          <w:lang w:val="en-US" w:eastAsia="en-US"/>
        </w:rPr>
        <w:t xml:space="preserve">6 </w:t>
      </w:r>
      <w:r>
        <w:rPr>
          <w:rStyle w:val="CharStyle12"/>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5"/>
        </w:numPr>
        <w:shd w:val="clear" w:color="auto" w:fill="auto"/>
        <w:tabs>
          <w:tab w:pos="1068" w:val="left"/>
        </w:tabs>
        <w:bidi w:val="0"/>
        <w:spacing w:before="0" w:after="0" w:line="240" w:lineRule="auto"/>
        <w:ind w:left="0" w:right="0" w:firstLine="700"/>
        <w:jc w:val="both"/>
      </w:pPr>
      <w:r>
        <w:rPr>
          <w:rStyle w:val="CharStyle12"/>
        </w:rPr>
        <w:t xml:space="preserve">непредставления информации и документов, предусмотренных п.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 </w:t>
      </w:r>
      <w:r>
        <w:rPr>
          <w:rStyle w:val="CharStyle12"/>
          <w:lang w:val="en-US" w:eastAsia="en-US"/>
        </w:rPr>
        <w:t xml:space="preserve">6 </w:t>
      </w:r>
      <w:r>
        <w:rPr>
          <w:rStyle w:val="CharStyle12"/>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5"/>
        </w:numPr>
        <w:shd w:val="clear" w:color="auto" w:fill="auto"/>
        <w:tabs>
          <w:tab w:pos="1068" w:val="left"/>
        </w:tabs>
        <w:bidi w:val="0"/>
        <w:spacing w:before="0" w:after="0" w:line="240" w:lineRule="auto"/>
        <w:ind w:left="0" w:right="0" w:firstLine="700"/>
        <w:jc w:val="both"/>
      </w:pPr>
      <w:r>
        <w:rPr>
          <w:rStyle w:val="CharStyle12"/>
        </w:rPr>
        <w:t xml:space="preserve">несоответствия участника закупки требованиям, установленным в извещении об осуществлении закупки в соответствии с ч. </w:t>
      </w:r>
      <w:r>
        <w:rPr>
          <w:rStyle w:val="CharStyle12"/>
          <w:lang w:val="en-US" w:eastAsia="en-US"/>
        </w:rPr>
        <w:t xml:space="preserve">1 </w:t>
      </w:r>
      <w:r>
        <w:rPr>
          <w:rStyle w:val="CharStyle12"/>
        </w:rPr>
        <w:t xml:space="preserve">ст. </w:t>
      </w:r>
      <w:r>
        <w:rPr>
          <w:rStyle w:val="CharStyle12"/>
          <w:lang w:val="en-US" w:eastAsia="en-US"/>
        </w:rPr>
        <w:t xml:space="preserve">31 </w:t>
      </w:r>
      <w:r>
        <w:rPr>
          <w:rStyle w:val="CharStyle12"/>
        </w:rPr>
        <w:t xml:space="preserve">Закона о контрактной системе, требованиям, установленным в извещении об осуществлении закупки в соответствии с ч. </w:t>
      </w:r>
      <w:r>
        <w:rPr>
          <w:rStyle w:val="CharStyle12"/>
          <w:lang w:val="en-US" w:eastAsia="en-US"/>
        </w:rPr>
        <w:t xml:space="preserve">1.1, 2 </w:t>
      </w:r>
      <w:r>
        <w:rPr>
          <w:rStyle w:val="CharStyle12"/>
        </w:rPr>
        <w:t xml:space="preserve">и </w:t>
      </w:r>
      <w:r>
        <w:rPr>
          <w:rStyle w:val="CharStyle12"/>
          <w:lang w:val="en-US" w:eastAsia="en-US"/>
        </w:rPr>
        <w:t xml:space="preserve">2.1 </w:t>
      </w:r>
      <w:r>
        <w:rPr>
          <w:rStyle w:val="CharStyle12"/>
        </w:rPr>
        <w:t xml:space="preserve">(при наличии таких требований) ст. </w:t>
      </w:r>
      <w:r>
        <w:rPr>
          <w:rStyle w:val="CharStyle12"/>
          <w:lang w:val="en-US" w:eastAsia="en-US"/>
        </w:rPr>
        <w:t xml:space="preserve">31 </w:t>
      </w:r>
      <w:r>
        <w:rPr>
          <w:rStyle w:val="CharStyle12"/>
        </w:rPr>
        <w:t>Закона о контрактной системе;</w:t>
      </w:r>
    </w:p>
    <w:p>
      <w:pPr>
        <w:pStyle w:val="Style11"/>
        <w:keepNext w:val="0"/>
        <w:keepLines w:val="0"/>
        <w:widowControl w:val="0"/>
        <w:numPr>
          <w:ilvl w:val="0"/>
          <w:numId w:val="5"/>
        </w:numPr>
        <w:shd w:val="clear" w:color="auto" w:fill="auto"/>
        <w:tabs>
          <w:tab w:pos="1066" w:val="left"/>
        </w:tabs>
        <w:bidi w:val="0"/>
        <w:spacing w:before="0" w:after="0" w:line="240" w:lineRule="auto"/>
        <w:ind w:left="0" w:right="0" w:firstLine="700"/>
        <w:jc w:val="both"/>
      </w:pPr>
      <w:r>
        <w:rPr>
          <w:rStyle w:val="CharStyle12"/>
        </w:rPr>
        <w:t xml:space="preserve">предусмотренных пп. «а» п. </w:t>
      </w:r>
      <w:r>
        <w:rPr>
          <w:rStyle w:val="CharStyle12"/>
          <w:lang w:val="en-US" w:eastAsia="en-US"/>
        </w:rPr>
        <w:t xml:space="preserve">1 </w:t>
      </w:r>
      <w:r>
        <w:rPr>
          <w:rStyle w:val="CharStyle12"/>
        </w:rPr>
        <w:t xml:space="preserve">(за исключением случая, предусмотренного п.5 ч.12 ст.48 Закона о контрактной системе), пп. «а» п. </w:t>
      </w:r>
      <w:r>
        <w:rPr>
          <w:rStyle w:val="CharStyle12"/>
          <w:lang w:val="en-US" w:eastAsia="en-US"/>
        </w:rPr>
        <w:t xml:space="preserve">2 </w:t>
      </w:r>
      <w:r>
        <w:rPr>
          <w:rStyle w:val="CharStyle12"/>
        </w:rPr>
        <w:t xml:space="preserve">ч. </w:t>
      </w:r>
      <w:r>
        <w:rPr>
          <w:rStyle w:val="CharStyle12"/>
          <w:lang w:val="en-US" w:eastAsia="en-US"/>
        </w:rPr>
        <w:t xml:space="preserve">4, </w:t>
      </w:r>
      <w:r>
        <w:rPr>
          <w:rStyle w:val="CharStyle12"/>
        </w:rPr>
        <w:t xml:space="preserve">пп. «а» п. </w:t>
      </w:r>
      <w:r>
        <w:rPr>
          <w:rStyle w:val="CharStyle12"/>
          <w:lang w:val="en-US" w:eastAsia="en-US"/>
        </w:rPr>
        <w:t xml:space="preserve">1 </w:t>
      </w:r>
      <w:r>
        <w:rPr>
          <w:rStyle w:val="CharStyle12"/>
        </w:rPr>
        <w:t xml:space="preserve">(за исключением случая, предусмотренного п.5 ч.12 ст.48 Закона о контрактной системе), п. </w:t>
      </w:r>
      <w:r>
        <w:rPr>
          <w:rStyle w:val="CharStyle12"/>
          <w:lang w:val="en-US" w:eastAsia="en-US"/>
        </w:rPr>
        <w:t xml:space="preserve">2 </w:t>
      </w:r>
      <w:r>
        <w:rPr>
          <w:rStyle w:val="CharStyle12"/>
        </w:rPr>
        <w:t xml:space="preserve">ч. </w:t>
      </w:r>
      <w:r>
        <w:rPr>
          <w:rStyle w:val="CharStyle12"/>
          <w:lang w:val="en-US" w:eastAsia="en-US"/>
        </w:rPr>
        <w:t xml:space="preserve">5 </w:t>
      </w:r>
      <w:r>
        <w:rPr>
          <w:rStyle w:val="CharStyle12"/>
        </w:rPr>
        <w:t xml:space="preserve">ст. </w:t>
      </w:r>
      <w:r>
        <w:rPr>
          <w:rStyle w:val="CharStyle12"/>
          <w:lang w:val="en-US" w:eastAsia="en-US"/>
        </w:rPr>
        <w:t xml:space="preserve">14 </w:t>
      </w:r>
      <w:r>
        <w:rPr>
          <w:rStyle w:val="CharStyle12"/>
        </w:rPr>
        <w:t>Закона о контрактной системе;</w:t>
      </w:r>
    </w:p>
    <w:p>
      <w:pPr>
        <w:pStyle w:val="Style11"/>
        <w:keepNext w:val="0"/>
        <w:keepLines w:val="0"/>
        <w:widowControl w:val="0"/>
        <w:numPr>
          <w:ilvl w:val="0"/>
          <w:numId w:val="5"/>
        </w:numPr>
        <w:shd w:val="clear" w:color="auto" w:fill="auto"/>
        <w:tabs>
          <w:tab w:pos="1066" w:val="left"/>
        </w:tabs>
        <w:bidi w:val="0"/>
        <w:spacing w:before="0" w:after="0" w:line="240" w:lineRule="auto"/>
        <w:ind w:left="0" w:right="0" w:firstLine="700"/>
        <w:jc w:val="both"/>
      </w:pPr>
      <w:r>
        <w:rPr>
          <w:rStyle w:val="CharStyle12"/>
        </w:rPr>
        <w:t xml:space="preserve">непредставления информации и документов, предусмотренных п. </w:t>
      </w:r>
      <w:r>
        <w:rPr>
          <w:rStyle w:val="CharStyle12"/>
          <w:lang w:val="en-US" w:eastAsia="en-US"/>
        </w:rPr>
        <w:t xml:space="preserve">5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43 </w:t>
      </w:r>
      <w:r>
        <w:rPr>
          <w:rStyle w:val="CharStyle12"/>
        </w:rPr>
        <w:t xml:space="preserve">Закона о контрактной системе, если такие информация и документы определены в соответствии с п. </w:t>
      </w:r>
      <w:r>
        <w:rPr>
          <w:rStyle w:val="CharStyle12"/>
          <w:lang w:val="en-US" w:eastAsia="en-US"/>
        </w:rPr>
        <w:t xml:space="preserve">2 </w:t>
      </w:r>
      <w:r>
        <w:rPr>
          <w:rStyle w:val="CharStyle12"/>
        </w:rPr>
        <w:t xml:space="preserve">ч. </w:t>
      </w:r>
      <w:r>
        <w:rPr>
          <w:rStyle w:val="CharStyle12"/>
          <w:lang w:val="en-US" w:eastAsia="en-US"/>
        </w:rPr>
        <w:t xml:space="preserve">2 </w:t>
      </w:r>
      <w:r>
        <w:rPr>
          <w:rStyle w:val="CharStyle12"/>
        </w:rPr>
        <w:t xml:space="preserve">ст. </w:t>
      </w:r>
      <w:r>
        <w:rPr>
          <w:rStyle w:val="CharStyle12"/>
          <w:lang w:val="en-US" w:eastAsia="en-US"/>
        </w:rPr>
        <w:t xml:space="preserve">14 </w:t>
      </w:r>
      <w:r>
        <w:rPr>
          <w:rStyle w:val="CharStyle12"/>
        </w:rPr>
        <w:t xml:space="preserve">Закона о контрактной системе (в случае установления в соответствии с пп. «а» п. </w:t>
      </w:r>
      <w:r>
        <w:rPr>
          <w:rStyle w:val="CharStyle12"/>
          <w:lang w:val="en-US" w:eastAsia="en-US"/>
        </w:rPr>
        <w:t xml:space="preserve">1 </w:t>
      </w:r>
      <w:r>
        <w:rPr>
          <w:rStyle w:val="CharStyle12"/>
        </w:rPr>
        <w:t xml:space="preserve">ч. </w:t>
      </w:r>
      <w:r>
        <w:rPr>
          <w:rStyle w:val="CharStyle12"/>
          <w:lang w:val="en-US" w:eastAsia="en-US"/>
        </w:rPr>
        <w:t xml:space="preserve">2 </w:t>
      </w:r>
      <w:r>
        <w:rPr>
          <w:rStyle w:val="CharStyle12"/>
        </w:rPr>
        <w:t xml:space="preserve">ст. </w:t>
      </w:r>
      <w:r>
        <w:rPr>
          <w:rStyle w:val="CharStyle12"/>
          <w:lang w:val="en-US" w:eastAsia="en-US"/>
        </w:rPr>
        <w:t xml:space="preserve">14 </w:t>
      </w:r>
      <w:r>
        <w:rPr>
          <w:rStyle w:val="CharStyle12"/>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11"/>
        <w:keepNext w:val="0"/>
        <w:keepLines w:val="0"/>
        <w:widowControl w:val="0"/>
        <w:numPr>
          <w:ilvl w:val="0"/>
          <w:numId w:val="5"/>
        </w:numPr>
        <w:shd w:val="clear" w:color="auto" w:fill="auto"/>
        <w:tabs>
          <w:tab w:pos="1066" w:val="left"/>
        </w:tabs>
        <w:bidi w:val="0"/>
        <w:spacing w:before="0" w:after="0" w:line="240" w:lineRule="auto"/>
        <w:ind w:left="0" w:right="0" w:firstLine="700"/>
        <w:jc w:val="both"/>
      </w:pPr>
      <w:r>
        <w:rPr>
          <w:rStyle w:val="CharStyle12"/>
        </w:rPr>
        <w:t xml:space="preserve">выявления отнесения участника закупки к организациям, предусмотренным п. </w:t>
      </w:r>
      <w:r>
        <w:rPr>
          <w:rStyle w:val="CharStyle12"/>
          <w:lang w:val="en-US" w:eastAsia="en-US"/>
        </w:rPr>
        <w:t xml:space="preserve">4 </w:t>
      </w:r>
      <w:r>
        <w:rPr>
          <w:rStyle w:val="CharStyle12"/>
        </w:rPr>
        <w:t xml:space="preserve">ст. </w:t>
      </w:r>
      <w:r>
        <w:rPr>
          <w:rStyle w:val="CharStyle12"/>
          <w:lang w:val="en-US" w:eastAsia="en-US"/>
        </w:rPr>
        <w:t xml:space="preserve">2 </w:t>
      </w:r>
      <w:r>
        <w:rPr>
          <w:rStyle w:val="CharStyle12"/>
        </w:rPr>
        <w:t xml:space="preserve">Федерального закона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5"/>
        </w:numPr>
        <w:shd w:val="clear" w:color="auto" w:fill="auto"/>
        <w:tabs>
          <w:tab w:pos="1766" w:val="left"/>
        </w:tabs>
        <w:bidi w:val="0"/>
        <w:spacing w:before="0" w:after="0" w:line="240" w:lineRule="auto"/>
        <w:ind w:left="0" w:right="0" w:firstLine="700"/>
        <w:jc w:val="both"/>
      </w:pPr>
      <w:r>
        <w:rPr>
          <w:rStyle w:val="CharStyle12"/>
        </w:rPr>
        <w:t xml:space="preserve">предусмотренных ч.6 ст. </w:t>
      </w:r>
      <w:r>
        <w:rPr>
          <w:rStyle w:val="CharStyle12"/>
          <w:lang w:val="en-US" w:eastAsia="en-US"/>
        </w:rPr>
        <w:t xml:space="preserve">45 </w:t>
      </w:r>
      <w:r>
        <w:rPr>
          <w:rStyle w:val="CharStyle12"/>
        </w:rPr>
        <w:t>Закона о контрактной системе;</w:t>
      </w:r>
    </w:p>
    <w:p>
      <w:pPr>
        <w:pStyle w:val="Style11"/>
        <w:keepNext w:val="0"/>
        <w:keepLines w:val="0"/>
        <w:widowControl w:val="0"/>
        <w:numPr>
          <w:ilvl w:val="0"/>
          <w:numId w:val="5"/>
        </w:numPr>
        <w:shd w:val="clear" w:color="auto" w:fill="auto"/>
        <w:tabs>
          <w:tab w:pos="1068" w:val="left"/>
        </w:tabs>
        <w:bidi w:val="0"/>
        <w:spacing w:before="0" w:after="0" w:line="240" w:lineRule="auto"/>
        <w:ind w:left="0" w:right="0" w:firstLine="700"/>
        <w:jc w:val="both"/>
      </w:pPr>
      <w:r>
        <w:rPr>
          <w:rStyle w:val="CharStyle12"/>
        </w:rPr>
        <w:t>выявления недостоверной информации, содержащейся в заявке на участие в закупке;</w:t>
      </w:r>
    </w:p>
    <w:p>
      <w:pPr>
        <w:pStyle w:val="Style11"/>
        <w:keepNext w:val="0"/>
        <w:keepLines w:val="0"/>
        <w:widowControl w:val="0"/>
        <w:numPr>
          <w:ilvl w:val="0"/>
          <w:numId w:val="5"/>
        </w:numPr>
        <w:shd w:val="clear" w:color="auto" w:fill="auto"/>
        <w:tabs>
          <w:tab w:pos="1066" w:val="left"/>
        </w:tabs>
        <w:bidi w:val="0"/>
        <w:spacing w:before="0" w:after="0" w:line="240" w:lineRule="auto"/>
        <w:ind w:left="0" w:right="0" w:firstLine="700"/>
        <w:jc w:val="both"/>
      </w:pPr>
      <w:r>
        <w:rPr>
          <w:rStyle w:val="CharStyle12"/>
        </w:rPr>
        <w:t>указания информации о предложении участника закупки, предусмотренном п.3 или п.4 ч.1 ст.43 Закона о контрактной системе.</w:t>
      </w:r>
    </w:p>
    <w:p>
      <w:pPr>
        <w:pStyle w:val="Style11"/>
        <w:keepNext w:val="0"/>
        <w:keepLines w:val="0"/>
        <w:widowControl w:val="0"/>
        <w:shd w:val="clear" w:color="auto" w:fill="auto"/>
        <w:bidi w:val="0"/>
        <w:spacing w:before="0" w:after="0" w:line="295"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5" w:bottom="653" w:left="1103" w:header="0" w:footer="225" w:gutter="0"/>
          <w:cols w:space="720"/>
          <w:noEndnote/>
          <w:rtlGutter w:val="0"/>
          <w:docGrid w:linePitch="360"/>
        </w:sectPr>
      </w:pPr>
      <w:r>
        <w:rPr>
          <w:rStyle w:val="CharStyle12"/>
        </w:rPr>
        <w:t xml:space="preserve">Таким образом, Комиссия Управления приходит к выводу о том, что решение комиссии Заказчика о признании заявки Заявителя несоответствующей по </w:t>
      </w:r>
      <w:r>
        <w:rPr>
          <w:rStyle w:val="CharStyle12"/>
          <w:sz w:val="24"/>
          <w:szCs w:val="24"/>
          <w:lang w:val="en-US" w:eastAsia="en-US"/>
        </w:rPr>
        <w:t>2025-42045</w:t>
      </w:r>
    </w:p>
    <w:p>
      <w:pPr>
        <w:pStyle w:val="Style11"/>
        <w:keepNext w:val="0"/>
        <w:keepLines w:val="0"/>
        <w:widowControl w:val="0"/>
        <w:shd w:val="clear" w:color="auto" w:fill="auto"/>
        <w:bidi w:val="0"/>
        <w:spacing w:before="0" w:after="0" w:line="240" w:lineRule="auto"/>
        <w:ind w:left="0" w:right="0" w:firstLine="0"/>
        <w:jc w:val="both"/>
      </w:pPr>
      <w:r>
        <w:rPr>
          <w:rStyle w:val="CharStyle12"/>
        </w:rPr>
        <w:t>основанию, отраженному в протоколе подведения итогов определения поставщика (подрядчика, исполнителя), является неправомерным и принято в нарушение пп.«а» п.1 ч.5 ст.49 Закона о контрактной системе, что содержит признаки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в ходе проведения внеплановой проверки Комиссией Управления установлено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химические,группировочные наименования.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Постановлением Правительства Российской Федерации от </w:t>
      </w:r>
      <w:r>
        <w:rPr>
          <w:rStyle w:val="CharStyle12"/>
          <w:lang w:val="en-US" w:eastAsia="en-US"/>
        </w:rPr>
        <w:t xml:space="preserve">08.02.2017 145 </w:t>
      </w:r>
      <w:r>
        <w:rPr>
          <w:rStyle w:val="CharStyle12"/>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Правила использования КТРУ).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1"/>
        <w:keepNext w:val="0"/>
        <w:keepLines w:val="0"/>
        <w:widowControl w:val="0"/>
        <w:numPr>
          <w:ilvl w:val="0"/>
          <w:numId w:val="7"/>
        </w:numPr>
        <w:shd w:val="clear" w:color="auto" w:fill="auto"/>
        <w:tabs>
          <w:tab w:pos="940" w:val="left"/>
        </w:tabs>
        <w:bidi w:val="0"/>
        <w:spacing w:before="0" w:after="0" w:line="240" w:lineRule="auto"/>
        <w:ind w:left="0" w:right="0" w:firstLine="700"/>
        <w:jc w:val="both"/>
      </w:pPr>
      <w:r>
        <w:rPr>
          <w:rStyle w:val="CharStyle12"/>
        </w:rPr>
        <w:t>извещении об осуществлении закупки;</w:t>
      </w:r>
    </w:p>
    <w:p>
      <w:pPr>
        <w:pStyle w:val="Style11"/>
        <w:keepNext w:val="0"/>
        <w:keepLines w:val="0"/>
        <w:widowControl w:val="0"/>
        <w:numPr>
          <w:ilvl w:val="0"/>
          <w:numId w:val="7"/>
        </w:numPr>
        <w:shd w:val="clear" w:color="auto" w:fill="auto"/>
        <w:tabs>
          <w:tab w:pos="922" w:val="left"/>
        </w:tabs>
        <w:bidi w:val="0"/>
        <w:spacing w:before="0" w:after="0" w:line="240" w:lineRule="auto"/>
        <w:ind w:left="0" w:right="0" w:firstLine="700"/>
        <w:jc w:val="both"/>
      </w:pPr>
      <w:r>
        <w:rPr>
          <w:rStyle w:val="CharStyle12"/>
        </w:rPr>
        <w:t xml:space="preserve">приглашении принять участие в определении поставщика (подрядчика, исполнителя) (далее </w:t>
      </w:r>
      <w:r>
        <w:rPr>
          <w:rStyle w:val="CharStyle12"/>
          <w:lang w:val="en-US" w:eastAsia="en-US"/>
        </w:rPr>
        <w:t xml:space="preserve">— </w:t>
      </w:r>
      <w:r>
        <w:rPr>
          <w:rStyle w:val="CharStyle12"/>
        </w:rPr>
        <w:t>приглашение);</w:t>
      </w:r>
    </w:p>
    <w:p>
      <w:pPr>
        <w:pStyle w:val="Style11"/>
        <w:keepNext w:val="0"/>
        <w:keepLines w:val="0"/>
        <w:widowControl w:val="0"/>
        <w:numPr>
          <w:ilvl w:val="0"/>
          <w:numId w:val="7"/>
        </w:numPr>
        <w:shd w:val="clear" w:color="auto" w:fill="auto"/>
        <w:tabs>
          <w:tab w:pos="927" w:val="left"/>
        </w:tabs>
        <w:bidi w:val="0"/>
        <w:spacing w:before="0" w:after="0" w:line="240" w:lineRule="auto"/>
        <w:ind w:left="0" w:right="0" w:firstLine="700"/>
        <w:jc w:val="both"/>
      </w:pPr>
      <w:r>
        <w:rPr>
          <w:rStyle w:val="CharStyle12"/>
        </w:rPr>
        <w:t>документации о закупке (в случае если Федеральным законом предусмотрена документация о закупке);</w:t>
      </w:r>
    </w:p>
    <w:p>
      <w:pPr>
        <w:pStyle w:val="Style11"/>
        <w:keepNext w:val="0"/>
        <w:keepLines w:val="0"/>
        <w:widowControl w:val="0"/>
        <w:numPr>
          <w:ilvl w:val="0"/>
          <w:numId w:val="7"/>
        </w:numPr>
        <w:shd w:val="clear" w:color="auto" w:fill="auto"/>
        <w:tabs>
          <w:tab w:pos="980" w:val="left"/>
        </w:tabs>
        <w:bidi w:val="0"/>
        <w:spacing w:before="0" w:after="0" w:line="240" w:lineRule="auto"/>
        <w:ind w:left="0" w:right="0" w:firstLine="700"/>
        <w:jc w:val="both"/>
      </w:pPr>
      <w:r>
        <w:rPr>
          <w:rStyle w:val="CharStyle12"/>
        </w:rPr>
        <w:t>контракте;</w:t>
      </w:r>
    </w:p>
    <w:p>
      <w:pPr>
        <w:pStyle w:val="Style11"/>
        <w:keepNext w:val="0"/>
        <w:keepLines w:val="0"/>
        <w:widowControl w:val="0"/>
        <w:numPr>
          <w:ilvl w:val="0"/>
          <w:numId w:val="7"/>
        </w:numPr>
        <w:shd w:val="clear" w:color="auto" w:fill="auto"/>
        <w:tabs>
          <w:tab w:pos="980" w:val="left"/>
        </w:tabs>
        <w:bidi w:val="0"/>
        <w:spacing w:before="0" w:after="0" w:line="240" w:lineRule="auto"/>
        <w:ind w:left="0" w:right="0" w:firstLine="700"/>
        <w:jc w:val="both"/>
      </w:pPr>
      <w:r>
        <w:rPr>
          <w:rStyle w:val="CharStyle12"/>
        </w:rPr>
        <w:t>реестре контрактов,заключенных заказчиками.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основании п.4 Правил использования КТРУ Заказчики обязаны применять информацию, включенную в позицию каталога в соответствии с пп.«б» </w:t>
      </w:r>
      <w:r>
        <w:rPr>
          <w:rStyle w:val="CharStyle12"/>
          <w:lang w:val="en-US" w:eastAsia="en-US"/>
        </w:rPr>
        <w:t xml:space="preserve">- </w:t>
      </w:r>
      <w:r>
        <w:rPr>
          <w:rStyle w:val="CharStyle12"/>
        </w:rPr>
        <w:t xml:space="preserve">«г» и «е» </w:t>
      </w:r>
      <w:r>
        <w:rPr>
          <w:rStyle w:val="CharStyle12"/>
          <w:lang w:val="en-US" w:eastAsia="en-US"/>
        </w:rPr>
        <w:t xml:space="preserve">- </w:t>
      </w:r>
      <w:r>
        <w:rPr>
          <w:rStyle w:val="CharStyle12"/>
        </w:rPr>
        <w:t>«з» п.10 Правил формирования КТРУ.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9"/>
        </w:numPr>
        <w:shd w:val="clear" w:color="auto" w:fill="auto"/>
        <w:tabs>
          <w:tab w:pos="1100" w:val="left"/>
        </w:tabs>
        <w:bidi w:val="0"/>
        <w:spacing w:before="0" w:after="0" w:line="240" w:lineRule="auto"/>
        <w:ind w:left="0" w:right="0" w:firstLine="700"/>
        <w:jc w:val="both"/>
      </w:pPr>
      <w:r>
        <w:rPr>
          <w:rStyle w:val="CharStyle12"/>
        </w:rPr>
        <w:t>наименование товара,работы, услуги;</w:t>
      </w:r>
    </w:p>
    <w:p>
      <w:pPr>
        <w:pStyle w:val="Style11"/>
        <w:keepNext w:val="0"/>
        <w:keepLines w:val="0"/>
        <w:widowControl w:val="0"/>
        <w:numPr>
          <w:ilvl w:val="0"/>
          <w:numId w:val="9"/>
        </w:numPr>
        <w:shd w:val="clear" w:color="auto" w:fill="auto"/>
        <w:tabs>
          <w:tab w:pos="1123" w:val="left"/>
        </w:tabs>
        <w:bidi w:val="0"/>
        <w:spacing w:before="0" w:after="0" w:line="240" w:lineRule="auto"/>
        <w:ind w:left="0" w:right="0" w:firstLine="700"/>
        <w:jc w:val="both"/>
      </w:pPr>
      <w:r>
        <w:rPr>
          <w:rStyle w:val="CharStyle12"/>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9"/>
        </w:numPr>
        <w:shd w:val="clear" w:color="auto" w:fill="auto"/>
        <w:tabs>
          <w:tab w:pos="1110" w:val="left"/>
        </w:tabs>
        <w:bidi w:val="0"/>
        <w:spacing w:before="0" w:after="0" w:line="240" w:lineRule="auto"/>
        <w:ind w:left="0" w:right="0" w:firstLine="700"/>
        <w:jc w:val="both"/>
      </w:pPr>
      <w:r>
        <w:rPr>
          <w:rStyle w:val="CharStyle12"/>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 установленных пп. «а», «б» п.5 Правил использования КТРУ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работы,услуги в позиции каталога).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w:t>
      </w:r>
      <w:r>
        <w:rPr>
          <w:rStyle w:val="CharStyle12"/>
          <w:b/>
          <w:bCs/>
          <w:i/>
          <w:iCs/>
        </w:rPr>
        <w:t>указываются с использованием единой информационной системы при формировании извещения об осуществлении закупки</w:t>
      </w:r>
      <w:r>
        <w:rPr>
          <w:rStyle w:val="CharStyle12"/>
        </w:rPr>
        <w:t>,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Кроме того, Комиссией Управления установлено, что в составе извещения Заказчиком размещен электронный документ «Техническое задание», содержащий в своем составе описание объекта закупки, так, например:</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п.2 «Материал стоматологический пломбировочный композитный светового отверждения»: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«Область применения-Для герметизации фиссур»;</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Светоотверждаемый герметик фиссур со фторидом, белый.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Показания:</w:t>
      </w:r>
    </w:p>
    <w:p>
      <w:pPr>
        <w:pStyle w:val="Style11"/>
        <w:keepNext w:val="0"/>
        <w:keepLines w:val="0"/>
        <w:widowControl w:val="0"/>
        <w:numPr>
          <w:ilvl w:val="0"/>
          <w:numId w:val="11"/>
        </w:numPr>
        <w:shd w:val="clear" w:color="auto" w:fill="auto"/>
        <w:tabs>
          <w:tab w:pos="973" w:val="left"/>
        </w:tabs>
        <w:bidi w:val="0"/>
        <w:spacing w:before="0" w:after="0" w:line="240" w:lineRule="auto"/>
        <w:ind w:left="0" w:right="0" w:firstLine="720"/>
        <w:jc w:val="both"/>
      </w:pPr>
      <w:r>
        <w:rPr>
          <w:rStyle w:val="CharStyle12"/>
          <w:i/>
          <w:iCs/>
        </w:rPr>
        <w:t>герметизация фиссур и окклюзионных поверхностей зубов для профилактики кариеса</w:t>
      </w:r>
    </w:p>
    <w:p>
      <w:pPr>
        <w:pStyle w:val="Style11"/>
        <w:keepNext w:val="0"/>
        <w:keepLines w:val="0"/>
        <w:widowControl w:val="0"/>
        <w:numPr>
          <w:ilvl w:val="0"/>
          <w:numId w:val="11"/>
        </w:numPr>
        <w:shd w:val="clear" w:color="auto" w:fill="auto"/>
        <w:tabs>
          <w:tab w:pos="1560" w:val="left"/>
        </w:tabs>
        <w:bidi w:val="0"/>
        <w:spacing w:before="0" w:after="0" w:line="240" w:lineRule="auto"/>
        <w:ind w:left="0" w:right="0" w:firstLine="720"/>
        <w:jc w:val="both"/>
      </w:pPr>
      <w:r>
        <w:rPr>
          <w:rStyle w:val="CharStyle12"/>
          <w:i/>
          <w:iCs/>
        </w:rPr>
        <w:t>облицовка поврежденных участков эмали</w:t>
      </w:r>
    </w:p>
    <w:p>
      <w:pPr>
        <w:pStyle w:val="Style11"/>
        <w:keepNext w:val="0"/>
        <w:keepLines w:val="0"/>
        <w:widowControl w:val="0"/>
        <w:numPr>
          <w:ilvl w:val="0"/>
          <w:numId w:val="11"/>
        </w:numPr>
        <w:shd w:val="clear" w:color="auto" w:fill="auto"/>
        <w:tabs>
          <w:tab w:pos="1560" w:val="left"/>
        </w:tabs>
        <w:bidi w:val="0"/>
        <w:spacing w:before="0" w:after="0" w:line="240" w:lineRule="auto"/>
        <w:ind w:left="0" w:right="0" w:firstLine="720"/>
        <w:jc w:val="both"/>
      </w:pPr>
      <w:r>
        <w:rPr>
          <w:rStyle w:val="CharStyle12"/>
          <w:i/>
          <w:iCs/>
        </w:rPr>
        <w:t>фиксация ортодонтических аппаратов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-изоляция композитных и цементных пломб (защита от влаги)</w:t>
      </w:r>
    </w:p>
    <w:p>
      <w:pPr>
        <w:pStyle w:val="Style11"/>
        <w:keepNext w:val="0"/>
        <w:keepLines w:val="0"/>
        <w:widowControl w:val="0"/>
        <w:numPr>
          <w:ilvl w:val="0"/>
          <w:numId w:val="11"/>
        </w:numPr>
        <w:shd w:val="clear" w:color="auto" w:fill="auto"/>
        <w:tabs>
          <w:tab w:pos="1560" w:val="left"/>
        </w:tabs>
        <w:bidi w:val="0"/>
        <w:spacing w:before="0" w:after="0" w:line="240" w:lineRule="auto"/>
        <w:ind w:left="0" w:right="0" w:firstLine="720"/>
        <w:jc w:val="both"/>
      </w:pPr>
      <w:r>
        <w:rPr>
          <w:rStyle w:val="CharStyle12"/>
          <w:i/>
          <w:iCs/>
        </w:rPr>
        <w:t>Реставрация небольших кариозных повреждений;</w:t>
      </w:r>
    </w:p>
    <w:p>
      <w:pPr>
        <w:pStyle w:val="Style11"/>
        <w:keepNext w:val="0"/>
        <w:keepLines w:val="0"/>
        <w:widowControl w:val="0"/>
        <w:numPr>
          <w:ilvl w:val="0"/>
          <w:numId w:val="11"/>
        </w:numPr>
        <w:shd w:val="clear" w:color="auto" w:fill="auto"/>
        <w:tabs>
          <w:tab w:pos="1580" w:val="left"/>
        </w:tabs>
        <w:bidi w:val="0"/>
        <w:spacing w:before="0" w:after="0" w:line="240" w:lineRule="auto"/>
        <w:ind w:left="0" w:right="0" w:firstLine="700"/>
        <w:jc w:val="both"/>
      </w:pPr>
      <w:r>
        <w:rPr>
          <w:rStyle w:val="CharStyle12"/>
          <w:i/>
          <w:iCs/>
        </w:rPr>
        <w:t>Ремонт небольших дефектов в композитных и амальгамных пломбах.</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w:t>
      </w:r>
      <w:r>
        <w:rPr>
          <w:rStyle w:val="CharStyle12"/>
          <w:i/>
          <w:iCs/>
          <w:lang w:val="en-US" w:eastAsia="en-US"/>
        </w:rPr>
        <w:t xml:space="preserve">2 </w:t>
      </w:r>
      <w:r>
        <w:rPr>
          <w:rStyle w:val="CharStyle12"/>
          <w:i/>
          <w:iCs/>
        </w:rPr>
        <w:t xml:space="preserve">шприца х </w:t>
      </w:r>
      <w:r>
        <w:rPr>
          <w:rStyle w:val="CharStyle12"/>
          <w:i/>
          <w:iCs/>
          <w:lang w:val="en-US" w:eastAsia="en-US"/>
        </w:rPr>
        <w:t xml:space="preserve">2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24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п.3 «Материал стоматологический пломбировочный композитный светового отверждения»: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«Рентгеноконтрастный цинкоксидэвгенольный цемент</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применения-Для пломбирования корневых каналов зубов во взрослой и в детской стоматологии</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Уникальный силер, обладающий противовоспалительными свойствами.</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Не содержит дексаметазон.</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Рекомендуется для пломбирования каналов гуттаперчевыми штифтами методом латеральной конденсации, в особых клинических ситуациях может применяться без гуттаперчевых штифтов, сохраняя стабильность.</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Оказывает антисептическое и противовоспалительное действие в течение нескольких часов после пломбирования.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Показания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Окончательное пломбирование корневых каналов с использованием гуттаперчевых штифтов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Ацетат гидрокортизона </w:t>
      </w:r>
      <w:r>
        <w:rPr>
          <w:rStyle w:val="CharStyle12"/>
          <w:i/>
          <w:iCs/>
          <w:lang w:val="en-US" w:eastAsia="en-US"/>
        </w:rPr>
        <w:t xml:space="preserve">1,0 </w:t>
      </w:r>
      <w:r>
        <w:rPr>
          <w:rStyle w:val="CharStyle12"/>
          <w:i/>
          <w:iCs/>
        </w:rPr>
        <w:t>г</w:t>
      </w:r>
    </w:p>
    <w:p>
      <w:pPr>
        <w:pStyle w:val="Style11"/>
        <w:keepNext w:val="0"/>
        <w:keepLines w:val="0"/>
        <w:widowControl w:val="0"/>
        <w:shd w:val="clear" w:color="auto" w:fill="auto"/>
        <w:bidi w:val="0"/>
        <w:spacing w:before="0" w:after="0" w:line="240" w:lineRule="auto"/>
        <w:ind w:left="700" w:right="0" w:firstLine="20"/>
        <w:jc w:val="both"/>
      </w:pPr>
      <w:r>
        <w:rPr>
          <w:rStyle w:val="CharStyle12"/>
          <w:i/>
          <w:iCs/>
        </w:rPr>
        <w:t xml:space="preserve">Наполнитель: тимол йодид, сульфат бария, оксид цинка, стеарат магния </w:t>
      </w:r>
      <w:r>
        <w:rPr>
          <w:rStyle w:val="CharStyle12"/>
          <w:i/>
          <w:iCs/>
          <w:lang w:val="en-US" w:eastAsia="en-US"/>
        </w:rPr>
        <w:t>q.s.аd.</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Упаковка 14г порошок +10мл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24 </w:t>
      </w:r>
      <w:r>
        <w:rPr>
          <w:rStyle w:val="CharStyle12"/>
          <w:i/>
          <w:iCs/>
        </w:rPr>
        <w:t>месяцев»;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п.10 «Материал пломбировочный эндодонтический»: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«Материал для пломбирования каналов без серебра для техники горячей и холодной обтурации.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Твердеющая субстанция, используемая в эндодонтии для постоянной пломбировки корневых каналов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Порошок: оксид висмута, метиламин,</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Паста: эпоксибисфенол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порошок не менее </w:t>
      </w:r>
      <w:r>
        <w:rPr>
          <w:rStyle w:val="CharStyle12"/>
          <w:i/>
          <w:iCs/>
          <w:lang w:val="en-US" w:eastAsia="en-US"/>
        </w:rPr>
        <w:t xml:space="preserve">8 </w:t>
      </w:r>
      <w:r>
        <w:rPr>
          <w:rStyle w:val="CharStyle12"/>
          <w:i/>
          <w:iCs/>
        </w:rPr>
        <w:t xml:space="preserve">г. не более </w:t>
      </w:r>
      <w:r>
        <w:rPr>
          <w:rStyle w:val="CharStyle12"/>
          <w:i/>
          <w:iCs/>
          <w:lang w:val="en-US" w:eastAsia="en-US"/>
        </w:rPr>
        <w:t xml:space="preserve">9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паста не менее </w:t>
      </w:r>
      <w:r>
        <w:rPr>
          <w:rStyle w:val="CharStyle12"/>
          <w:i/>
          <w:iCs/>
          <w:lang w:val="en-US" w:eastAsia="en-US"/>
        </w:rPr>
        <w:t xml:space="preserve">10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Остаточный срок годности не менее 20месяцев»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п.12 «Порошок абразивный стоматологический»: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«Профилактический порошок для удаления наддесневого зубного налета.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применения-Для полировки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Порошок предназначен для применения в стоматологии с аппаратами для полировки зубов фирмы </w:t>
      </w:r>
      <w:r>
        <w:rPr>
          <w:rStyle w:val="CharStyle12"/>
          <w:i/>
          <w:iCs/>
          <w:lang w:val="en-US" w:eastAsia="en-US"/>
        </w:rPr>
        <w:t>EMS</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 ПОРОШКА: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Бикарбонат натрия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Аморфный кремнезем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Подсластитель и ароматизатор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Размер гранул порошка составляет не более </w:t>
      </w:r>
      <w:r>
        <w:rPr>
          <w:rStyle w:val="CharStyle12"/>
          <w:i/>
          <w:iCs/>
          <w:lang w:val="en-US" w:eastAsia="en-US"/>
        </w:rPr>
        <w:t>40 µm.</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Продукт рекомендуется для следующих процедур: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Удаление пятен/окрашивания и зубного налета,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Удаление бляшек для нанесения герметиков,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Подготовка поверхности перед фиксацией/цементированием вкладок, накладок, коронок и коронок с облицовкой,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Подготовка поверхности перед нанесением композиционных пломбировочных смол,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Очистка перед фиксацией ортодонтических кронштейнов,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Эффективное удаление бляшек и налёта у ортодонтических пациентов,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Удаление налёта для определения цветового оттенка,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Удаление бляшек перед обработкой фтористыми соединениями,</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Удаление бляшек и налёта перед процедурой отбеливания.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не менее </w:t>
      </w:r>
      <w:r>
        <w:rPr>
          <w:rStyle w:val="CharStyle12"/>
          <w:i/>
          <w:iCs/>
          <w:lang w:val="en-US" w:eastAsia="en-US"/>
        </w:rPr>
        <w:t xml:space="preserve">300 </w:t>
      </w:r>
      <w:r>
        <w:rPr>
          <w:rStyle w:val="CharStyle12"/>
          <w:i/>
          <w:iCs/>
        </w:rPr>
        <w:t>гр.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30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п.14 «Покрытие дентальное,для уменьшения чувствительности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«Препарат для лечения повышенной чувствительности твердых тканей зубов (десенситайзер)</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применения-При лечении повышенной чувствительности твердых тканей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Время нанесения </w:t>
      </w:r>
      <w:r>
        <w:rPr>
          <w:rStyle w:val="CharStyle12"/>
          <w:i/>
          <w:iCs/>
          <w:lang w:val="en-US" w:eastAsia="en-US"/>
        </w:rPr>
        <w:t xml:space="preserve">– 30-60 </w:t>
      </w:r>
      <w:r>
        <w:rPr>
          <w:rStyle w:val="CharStyle12"/>
          <w:i/>
          <w:iCs/>
        </w:rPr>
        <w:t>сек.</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Моментальное действие.</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Не требует фотополимеризации.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Не препятствует адгезии композитных материалов.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Уменьшает чувствительность дентина за счет закрытия просвета дентинных канальцев.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Эффект обеспечивается за счет преципитации (коагуляции) белков дентинной жидкости внутри дентинных канальцев. В результате этого процесса в дентинных канальцах образуютсяпоперечные перегородки, перекрывающие движение дентинной жидкости (т.н.внутриканальцевое закрытие </w:t>
      </w:r>
      <w:r>
        <w:rPr>
          <w:rStyle w:val="CharStyle12"/>
          <w:i/>
          <w:iCs/>
          <w:lang w:val="en-US" w:eastAsia="en-US"/>
        </w:rPr>
        <w:t>/F.Lutz/).</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Благодаря наличию в составе препарата НЕМА, глубина его проникновения увеличивается до </w:t>
      </w:r>
      <w:r>
        <w:rPr>
          <w:rStyle w:val="CharStyle12"/>
          <w:i/>
          <w:iCs/>
          <w:lang w:val="en-US" w:eastAsia="en-US"/>
        </w:rPr>
        <w:t xml:space="preserve">200 </w:t>
      </w:r>
      <w:r>
        <w:rPr>
          <w:rStyle w:val="CharStyle12"/>
          <w:i/>
          <w:iCs/>
        </w:rPr>
        <w:t xml:space="preserve">мкм </w:t>
      </w:r>
      <w:r>
        <w:rPr>
          <w:rStyle w:val="CharStyle12"/>
          <w:i/>
          <w:iCs/>
          <w:lang w:val="en-US" w:eastAsia="en-US"/>
        </w:rPr>
        <w:t xml:space="preserve">(0,2 </w:t>
      </w:r>
      <w:r>
        <w:rPr>
          <w:rStyle w:val="CharStyle12"/>
          <w:i/>
          <w:iCs/>
        </w:rPr>
        <w:t>мм).</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НЕМА </w:t>
      </w:r>
      <w:r>
        <w:rPr>
          <w:rStyle w:val="CharStyle12"/>
          <w:i/>
          <w:iCs/>
          <w:lang w:val="en-US" w:eastAsia="en-US"/>
        </w:rPr>
        <w:t xml:space="preserve">– </w:t>
      </w:r>
      <w:r>
        <w:rPr>
          <w:rStyle w:val="CharStyle12"/>
          <w:i/>
          <w:iCs/>
        </w:rPr>
        <w:t>(2-гидроксиэтил) метакрилат.</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lang w:val="en-US" w:eastAsia="en-US"/>
        </w:rPr>
        <w:t xml:space="preserve">Glutaraldehid (GA) – </w:t>
      </w:r>
      <w:r>
        <w:rPr>
          <w:rStyle w:val="CharStyle12"/>
          <w:i/>
          <w:iCs/>
        </w:rPr>
        <w:t>глутаровый альдегид.</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Дистиллированная вода.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не менее </w:t>
      </w:r>
      <w:r>
        <w:rPr>
          <w:rStyle w:val="CharStyle12"/>
          <w:i/>
          <w:iCs/>
          <w:lang w:val="en-US" w:eastAsia="en-US"/>
        </w:rPr>
        <w:t xml:space="preserve">5 </w:t>
      </w:r>
      <w:r>
        <w:rPr>
          <w:rStyle w:val="CharStyle12"/>
          <w:i/>
          <w:iCs/>
        </w:rPr>
        <w:t>мл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20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п.18 «Средство для чистки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Для конечного полирования композитных реставраций для фронтальной и жевательной групп зубов, а также виниров;Для предварительной полировки пломб из золота, амальгамы и композитов</w:t>
      </w:r>
    </w:p>
    <w:p>
      <w:pPr>
        <w:pStyle w:val="Style11"/>
        <w:keepNext w:val="0"/>
        <w:keepLines w:val="0"/>
        <w:widowControl w:val="0"/>
        <w:shd w:val="clear" w:color="auto" w:fill="auto"/>
        <w:bidi w:val="0"/>
        <w:spacing w:before="0" w:after="0" w:line="240" w:lineRule="auto"/>
        <w:ind w:left="0" w:right="0" w:firstLine="880"/>
        <w:jc w:val="both"/>
      </w:pPr>
      <w:r>
        <w:rPr>
          <w:rStyle w:val="CharStyle12"/>
          <w:i/>
          <w:iCs/>
        </w:rPr>
        <w:t xml:space="preserve">Паста полировочная стоматологическая на основе минералов из породы риолитов для чистки и полировки зубов, а также для предварительной полировки пломб из золота, амальгамы и композитов. Без фтора и анисово й отдушки. </w:t>
      </w:r>
      <w:r>
        <w:rPr>
          <w:rStyle w:val="CharStyle12"/>
          <w:i/>
          <w:iCs/>
          <w:lang w:val="en-US" w:eastAsia="en-US"/>
        </w:rPr>
        <w:t xml:space="preserve">RDA: 43,8/ REA: 5,5 </w:t>
      </w:r>
      <w:r>
        <w:rPr>
          <w:rStyle w:val="CharStyle12"/>
          <w:i/>
          <w:iCs/>
        </w:rPr>
        <w:t xml:space="preserve">Упаковка не менее </w:t>
      </w:r>
      <w:r>
        <w:rPr>
          <w:rStyle w:val="CharStyle12"/>
          <w:i/>
          <w:iCs/>
          <w:lang w:val="en-US" w:eastAsia="en-US"/>
        </w:rPr>
        <w:t xml:space="preserve">50 </w:t>
      </w:r>
      <w:r>
        <w:rPr>
          <w:rStyle w:val="CharStyle12"/>
          <w:i/>
          <w:iCs/>
        </w:rPr>
        <w:t>г пасты в тюбике.</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20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п.19 «Средство для чистки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Для конечного полирования композитных реставраций для фронтальной и жевательной групп зубов, а также виниров;Для предварительной полировки пломб из золота, амальгамы и композитов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полировочная стоматологическая паста на основе минералов из породы риолитов для полировки естественных зубов, пломб из золота, амальгамы и пластмассы до зеркального блеска. Мелкая зернистость. Для финишной полировки Без фтора и анисовой отдушки. </w:t>
      </w:r>
      <w:r>
        <w:rPr>
          <w:rStyle w:val="CharStyle12"/>
          <w:i/>
          <w:iCs/>
          <w:lang w:val="en-US" w:eastAsia="en-US"/>
        </w:rPr>
        <w:t>RDA: 9,8/ REA: 4,5</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не менее </w:t>
      </w:r>
      <w:r>
        <w:rPr>
          <w:rStyle w:val="CharStyle12"/>
          <w:i/>
          <w:iCs/>
          <w:lang w:val="en-US" w:eastAsia="en-US"/>
        </w:rPr>
        <w:t xml:space="preserve">45 </w:t>
      </w:r>
      <w:r>
        <w:rPr>
          <w:rStyle w:val="CharStyle12"/>
          <w:i/>
          <w:iCs/>
        </w:rPr>
        <w:t>г пасты в тюбике.</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20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п.20 «Средство для чистки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«Паста для снятия зубного камня с истолченым цирконом. Паста с истолченным цирконом для удаления зубных отложений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 для профессиональной чистки зубов перед изготовлением композитных реставраций, удаления зубного налета, пигментаций, в т.ч. «налета курильщика», полирования поверхности зубов и реставраций на завершающем этапе, а так же профессиональной чистки зубов.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СОСТАВ</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Диоксид кремния </w:t>
      </w:r>
      <w:r>
        <w:rPr>
          <w:rStyle w:val="CharStyle12"/>
          <w:i/>
          <w:iCs/>
          <w:lang w:val="en-US" w:eastAsia="en-US"/>
        </w:rPr>
        <w:t xml:space="preserve">43,44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Силикат истолченного циркония </w:t>
      </w:r>
      <w:r>
        <w:rPr>
          <w:rStyle w:val="CharStyle12"/>
          <w:i/>
          <w:iCs/>
          <w:lang w:val="en-US" w:eastAsia="en-US"/>
        </w:rPr>
        <w:t xml:space="preserve">13,50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lang w:val="en-US" w:eastAsia="en-US"/>
        </w:rPr>
        <w:t xml:space="preserve">35% </w:t>
      </w:r>
      <w:r>
        <w:rPr>
          <w:rStyle w:val="CharStyle12"/>
          <w:i/>
          <w:iCs/>
        </w:rPr>
        <w:t xml:space="preserve">растворформальдегида </w:t>
      </w:r>
      <w:r>
        <w:rPr>
          <w:rStyle w:val="CharStyle12"/>
          <w:i/>
          <w:iCs/>
          <w:lang w:val="en-US" w:eastAsia="en-US"/>
        </w:rPr>
        <w:t xml:space="preserve">0,10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Наполнитель в количестведостаточном для </w:t>
      </w:r>
      <w:r>
        <w:rPr>
          <w:rStyle w:val="CharStyle12"/>
          <w:i/>
          <w:iCs/>
          <w:lang w:val="en-US" w:eastAsia="en-US"/>
        </w:rPr>
        <w:t xml:space="preserve">100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не менее 40г не более </w:t>
      </w:r>
      <w:r>
        <w:rPr>
          <w:rStyle w:val="CharStyle12"/>
          <w:i/>
          <w:iCs/>
          <w:lang w:val="en-US" w:eastAsia="en-US"/>
        </w:rPr>
        <w:t xml:space="preserve">45 </w:t>
      </w:r>
      <w:r>
        <w:rPr>
          <w:rStyle w:val="CharStyle12"/>
          <w:i/>
          <w:iCs/>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30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п.30 «Средство парадонтологическое клиническое»:</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«Область применения-Для купирования луночкового кровотечения при удалении зубов, обработке зубных лунок, выравнивании гребнеобразных альвеолярных отростков, при кюретаже пародонтальных карманов, гингивэктомии</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и снятии зубного камня Форма выпуска-паста</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В составе: паста Йодоформ 15-16г.</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Бутиловая соль двуаминобензойной кислоты </w:t>
      </w:r>
      <w:r>
        <w:rPr>
          <w:rStyle w:val="CharStyle12"/>
          <w:i/>
          <w:iCs/>
          <w:lang w:val="en-US" w:eastAsia="en-US"/>
        </w:rPr>
        <w:t xml:space="preserve">25,1-26,0 </w:t>
      </w:r>
      <w:r>
        <w:rPr>
          <w:rStyle w:val="CharStyle12"/>
          <w:i/>
          <w:iCs/>
        </w:rPr>
        <w:t xml:space="preserve">г., Эвгенол </w:t>
      </w:r>
      <w:r>
        <w:rPr>
          <w:rStyle w:val="CharStyle12"/>
          <w:i/>
          <w:iCs/>
          <w:lang w:val="en-US" w:eastAsia="en-US"/>
        </w:rPr>
        <w:t xml:space="preserve">12,5-13,7 </w:t>
      </w:r>
      <w:r>
        <w:rPr>
          <w:rStyle w:val="CharStyle12"/>
          <w:i/>
          <w:iCs/>
        </w:rPr>
        <w:t xml:space="preserve">г Эксципиент до </w:t>
      </w:r>
      <w:r>
        <w:rPr>
          <w:rStyle w:val="CharStyle12"/>
          <w:i/>
          <w:iCs/>
          <w:lang w:val="en-US" w:eastAsia="en-US"/>
        </w:rPr>
        <w:t xml:space="preserve">100,0 </w:t>
      </w:r>
      <w:r>
        <w:rPr>
          <w:rStyle w:val="CharStyle12"/>
          <w:i/>
          <w:iCs/>
        </w:rPr>
        <w:t xml:space="preserve">г. жгутики </w:t>
      </w:r>
      <w:r>
        <w:rPr>
          <w:rStyle w:val="CharStyle12"/>
          <w:i/>
          <w:iCs/>
          <w:lang w:val="en-US" w:eastAsia="en-US"/>
        </w:rPr>
        <w:t xml:space="preserve">25 </w:t>
      </w:r>
      <w:r>
        <w:rPr>
          <w:rStyle w:val="CharStyle12"/>
          <w:i/>
          <w:iCs/>
        </w:rPr>
        <w:t xml:space="preserve">г. гигроскопической ваты, пропитанные </w:t>
      </w:r>
      <w:r>
        <w:rPr>
          <w:rStyle w:val="CharStyle12"/>
          <w:i/>
          <w:iCs/>
          <w:lang w:val="en-US" w:eastAsia="en-US"/>
        </w:rPr>
        <w:t xml:space="preserve">100 </w:t>
      </w:r>
      <w:r>
        <w:rPr>
          <w:rStyle w:val="CharStyle12"/>
          <w:i/>
          <w:iCs/>
        </w:rPr>
        <w:t>г вышеописанной пасты</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Упаковка: не менее </w:t>
      </w:r>
      <w:r>
        <w:rPr>
          <w:rStyle w:val="CharStyle12"/>
          <w:i/>
          <w:iCs/>
          <w:lang w:val="en-US" w:eastAsia="en-US"/>
        </w:rPr>
        <w:t xml:space="preserve">10 </w:t>
      </w:r>
      <w:r>
        <w:rPr>
          <w:rStyle w:val="CharStyle12"/>
          <w:i/>
          <w:iCs/>
        </w:rPr>
        <w:t>гр</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Остаточный срок годности не менее </w:t>
      </w:r>
      <w:r>
        <w:rPr>
          <w:rStyle w:val="CharStyle12"/>
          <w:i/>
          <w:iCs/>
          <w:lang w:val="en-US" w:eastAsia="en-US"/>
        </w:rPr>
        <w:t xml:space="preserve">18 </w:t>
      </w:r>
      <w:r>
        <w:rPr>
          <w:rStyle w:val="CharStyle12"/>
          <w:i/>
          <w:iCs/>
        </w:rPr>
        <w:t>месяцев»;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п.31«Покрытие дентальное, для уменьшения чувствительности зубов»:</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«Область применения</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При лечении повышенной чувствительности твердых тканей;Для местного применения для профилактики кариеса зубов</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В составе содержатся: фтористый натрий- 2,70г, фосфорная кислота- 0,8</w:t>
        <w:softHyphen/>
      </w:r>
      <w:r>
        <w:rPr>
          <w:rStyle w:val="CharStyle12"/>
          <w:i/>
          <w:iCs/>
          <w:lang w:val="ru-RU" w:eastAsia="ru-RU"/>
        </w:rPr>
      </w:r>
      <w:r>
        <w:rPr>
          <w:rStyle w:val="CharStyle12"/>
          <w:i/>
          <w:iCs/>
        </w:rPr>
        <w:t>1,00г, сахарин- ОДг, спирт- 3,0г, ксантановая камедь- 1,5г, очищенная вода в количестве достаточном для 100г, 100мл геля содержат в пределах 1,2-1,25г активного фтора</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Гель-Упаковка не менее </w:t>
      </w:r>
      <w:r>
        <w:rPr>
          <w:rStyle w:val="CharStyle12"/>
          <w:i/>
          <w:iCs/>
          <w:lang w:val="en-US" w:eastAsia="en-US"/>
        </w:rPr>
        <w:t xml:space="preserve">125 </w:t>
      </w:r>
      <w:r>
        <w:rPr>
          <w:rStyle w:val="CharStyle12"/>
          <w:i/>
          <w:iCs/>
        </w:rPr>
        <w:t>гр.</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Остаточный срок годности не менее </w:t>
      </w:r>
      <w:r>
        <w:rPr>
          <w:rStyle w:val="CharStyle12"/>
          <w:i/>
          <w:iCs/>
          <w:lang w:val="en-US" w:eastAsia="en-US"/>
        </w:rPr>
        <w:t xml:space="preserve">24 </w:t>
      </w:r>
      <w:r>
        <w:rPr>
          <w:rStyle w:val="CharStyle12"/>
          <w:i/>
          <w:iCs/>
        </w:rPr>
        <w:t>месяцев»;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по п.32 «Материал защитный для пульпы зуба»:</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«Светоотверждаемый, рентгеноконтрастный компомерный материал для изолирующих прокладок под композитные и керамические реставрации, реставрации из амальгамы. Область применения-Подкладочный материал химического отверждения Управляемое расширение компенсирует усадку композитного заполнения. Продолжительное выделение фторидов. Содержит ионы цинка, обладающие бактерицидным эффектом. Отсутствует ручное замешивание Защитное действие на пульпу зуба. Герметизация дентинных канальцев Штука=Упаковка </w:t>
      </w:r>
      <w:r>
        <w:rPr>
          <w:rStyle w:val="CharStyle12"/>
          <w:i/>
          <w:iCs/>
          <w:lang w:val="en-US" w:eastAsia="en-US"/>
        </w:rPr>
        <w:t xml:space="preserve">– 20 </w:t>
      </w:r>
      <w:r>
        <w:rPr>
          <w:rStyle w:val="CharStyle12"/>
          <w:i/>
          <w:iCs/>
        </w:rPr>
        <w:t xml:space="preserve">шт по </w:t>
      </w:r>
      <w:r>
        <w:rPr>
          <w:rStyle w:val="CharStyle12"/>
          <w:i/>
          <w:iCs/>
          <w:lang w:val="en-US" w:eastAsia="en-US"/>
        </w:rPr>
        <w:t xml:space="preserve">0,33 </w:t>
      </w:r>
      <w:r>
        <w:rPr>
          <w:rStyle w:val="CharStyle12"/>
          <w:i/>
          <w:iCs/>
        </w:rPr>
        <w:t xml:space="preserve">г. Остаточный срок годности не менее </w:t>
      </w:r>
      <w:r>
        <w:rPr>
          <w:rStyle w:val="CharStyle12"/>
          <w:i/>
          <w:iCs/>
          <w:lang w:val="en-US" w:eastAsia="en-US"/>
        </w:rPr>
        <w:t xml:space="preserve">24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по п.50 «Материал стоматологический слепочный силиконовый»:</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«С-силикон очень высокой вязкости. Полисилоксан- эластомер, способный на основе реакции конденсации образовывать сетчатую структуру,</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Область применения</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Для использования в различных техниках снятия слепков;Для С-силиконов</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Идеальный для получения оттиска при технике двухслойного оттиска Материал для внешнего оттиска при технике двухфазного оттиска и технике снятия оттиска с медным кольцом.</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Материал для контрольных моделей, в том числе ортодонтических, окклюзионного ключа, оттиска для изготовления защитных коронок после препарирования зубов.</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Имеет хорошую биологическую совместимость и высокую резистентность.</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Базисная слепочная масса высокой вязкости. Время смешивания в интервале не менее </w:t>
      </w:r>
      <w:r>
        <w:rPr>
          <w:rStyle w:val="CharStyle12"/>
          <w:i/>
          <w:iCs/>
          <w:lang w:val="en-US" w:eastAsia="en-US"/>
        </w:rPr>
        <w:t xml:space="preserve">40 </w:t>
      </w:r>
      <w:r>
        <w:rPr>
          <w:rStyle w:val="CharStyle12"/>
          <w:i/>
          <w:iCs/>
        </w:rPr>
        <w:t xml:space="preserve">и не более </w:t>
      </w:r>
      <w:r>
        <w:rPr>
          <w:rStyle w:val="CharStyle12"/>
          <w:i/>
          <w:iCs/>
          <w:lang w:val="en-US" w:eastAsia="en-US"/>
        </w:rPr>
        <w:t xml:space="preserve">50 </w:t>
      </w:r>
      <w:r>
        <w:rPr>
          <w:rStyle w:val="CharStyle12"/>
          <w:i/>
          <w:iCs/>
        </w:rPr>
        <w:t xml:space="preserve">сек, время обработки не более </w:t>
      </w:r>
      <w:r>
        <w:rPr>
          <w:rStyle w:val="CharStyle12"/>
          <w:i/>
          <w:iCs/>
          <w:lang w:val="en-US" w:eastAsia="en-US"/>
        </w:rPr>
        <w:t xml:space="preserve">1 </w:t>
      </w:r>
      <w:r>
        <w:rPr>
          <w:rStyle w:val="CharStyle12"/>
          <w:i/>
          <w:iCs/>
        </w:rPr>
        <w:t xml:space="preserve">мин </w:t>
      </w:r>
      <w:r>
        <w:rPr>
          <w:rStyle w:val="CharStyle12"/>
          <w:i/>
          <w:iCs/>
          <w:lang w:val="en-US" w:eastAsia="en-US"/>
        </w:rPr>
        <w:t xml:space="preserve">30 </w:t>
      </w:r>
      <w:r>
        <w:rPr>
          <w:rStyle w:val="CharStyle12"/>
          <w:i/>
          <w:iCs/>
        </w:rPr>
        <w:t xml:space="preserve">сек, пребывание в полости рта от </w:t>
      </w:r>
      <w:r>
        <w:rPr>
          <w:rStyle w:val="CharStyle12"/>
          <w:i/>
          <w:iCs/>
          <w:lang w:val="en-US" w:eastAsia="en-US"/>
        </w:rPr>
        <w:t xml:space="preserve">3 </w:t>
      </w:r>
      <w:r>
        <w:rPr>
          <w:rStyle w:val="CharStyle12"/>
          <w:i/>
          <w:iCs/>
        </w:rPr>
        <w:t xml:space="preserve">мин </w:t>
      </w:r>
      <w:r>
        <w:rPr>
          <w:rStyle w:val="CharStyle12"/>
          <w:i/>
          <w:iCs/>
          <w:lang w:val="en-US" w:eastAsia="en-US"/>
        </w:rPr>
        <w:t xml:space="preserve">00 </w:t>
      </w:r>
      <w:r>
        <w:rPr>
          <w:rStyle w:val="CharStyle12"/>
          <w:i/>
          <w:iCs/>
        </w:rPr>
        <w:t xml:space="preserve">сек до </w:t>
      </w:r>
      <w:r>
        <w:rPr>
          <w:rStyle w:val="CharStyle12"/>
          <w:i/>
          <w:iCs/>
          <w:lang w:val="en-US" w:eastAsia="en-US"/>
        </w:rPr>
        <w:t xml:space="preserve">3 </w:t>
      </w:r>
      <w:r>
        <w:rPr>
          <w:rStyle w:val="CharStyle12"/>
          <w:i/>
          <w:iCs/>
        </w:rPr>
        <w:t xml:space="preserve">мин </w:t>
      </w:r>
      <w:r>
        <w:rPr>
          <w:rStyle w:val="CharStyle12"/>
          <w:i/>
          <w:iCs/>
          <w:lang w:val="en-US" w:eastAsia="en-US"/>
        </w:rPr>
        <w:t xml:space="preserve">10 </w:t>
      </w:r>
      <w:r>
        <w:rPr>
          <w:rStyle w:val="CharStyle12"/>
          <w:i/>
          <w:iCs/>
        </w:rPr>
        <w:t xml:space="preserve">сек, время схватывания не более </w:t>
      </w:r>
      <w:r>
        <w:rPr>
          <w:rStyle w:val="CharStyle12"/>
          <w:i/>
          <w:iCs/>
          <w:lang w:val="en-US" w:eastAsia="en-US"/>
        </w:rPr>
        <w:t xml:space="preserve">5 </w:t>
      </w:r>
      <w:r>
        <w:rPr>
          <w:rStyle w:val="CharStyle12"/>
          <w:i/>
          <w:iCs/>
        </w:rPr>
        <w:t xml:space="preserve">мин, деформация при сжатии не менее </w:t>
      </w:r>
      <w:r>
        <w:rPr>
          <w:rStyle w:val="CharStyle12"/>
          <w:i/>
          <w:iCs/>
          <w:lang w:val="en-US" w:eastAsia="en-US"/>
        </w:rPr>
        <w:t xml:space="preserve">1,3 </w:t>
      </w:r>
      <w:r>
        <w:rPr>
          <w:rStyle w:val="CharStyle12"/>
          <w:i/>
          <w:iCs/>
        </w:rPr>
        <w:t xml:space="preserve">не более </w:t>
      </w:r>
      <w:r>
        <w:rPr>
          <w:rStyle w:val="CharStyle12"/>
          <w:i/>
          <w:iCs/>
          <w:lang w:val="en-US" w:eastAsia="en-US"/>
        </w:rPr>
        <w:t xml:space="preserve">2,7%, </w:t>
      </w:r>
      <w:r>
        <w:rPr>
          <w:rStyle w:val="CharStyle12"/>
          <w:i/>
          <w:iCs/>
        </w:rPr>
        <w:t>упругое восстановление не</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менее </w:t>
      </w:r>
      <w:r>
        <w:rPr>
          <w:rStyle w:val="CharStyle12"/>
          <w:i/>
          <w:iCs/>
          <w:lang w:val="en-US" w:eastAsia="en-US"/>
        </w:rPr>
        <w:t xml:space="preserve">97,5%. </w:t>
      </w:r>
      <w:r>
        <w:rPr>
          <w:rStyle w:val="CharStyle12"/>
          <w:i/>
          <w:iCs/>
        </w:rPr>
        <w:t>Базовый слой.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Базовый слой для материалов (коррегирующего слепочного материала,позиции </w:t>
      </w:r>
      <w:r>
        <w:rPr>
          <w:rStyle w:val="CharStyle12"/>
          <w:i/>
          <w:iCs/>
          <w:lang w:val="en-US" w:eastAsia="en-US"/>
        </w:rPr>
        <w:t xml:space="preserve">№ 51 </w:t>
      </w:r>
      <w:r>
        <w:rPr>
          <w:rStyle w:val="CharStyle12"/>
          <w:i/>
          <w:iCs/>
        </w:rPr>
        <w:t xml:space="preserve">технического задания </w:t>
      </w:r>
      <w:r>
        <w:rPr>
          <w:rStyle w:val="CharStyle12"/>
          <w:i/>
          <w:iCs/>
          <w:lang w:val="en-US" w:eastAsia="en-US"/>
        </w:rPr>
        <w:t xml:space="preserve">), </w:t>
      </w:r>
      <w:r>
        <w:rPr>
          <w:rStyle w:val="CharStyle12"/>
          <w:i/>
          <w:iCs/>
        </w:rPr>
        <w:t xml:space="preserve">и активатора позиции </w:t>
      </w:r>
      <w:r>
        <w:rPr>
          <w:rStyle w:val="CharStyle12"/>
          <w:i/>
          <w:iCs/>
          <w:lang w:val="en-US" w:eastAsia="en-US"/>
        </w:rPr>
        <w:t xml:space="preserve">№ 52 </w:t>
      </w:r>
      <w:r>
        <w:rPr>
          <w:rStyle w:val="CharStyle12"/>
          <w:i/>
          <w:iCs/>
        </w:rPr>
        <w:t xml:space="preserve">технического задания </w:t>
      </w:r>
      <w:r>
        <w:rPr>
          <w:rStyle w:val="CharStyle12"/>
          <w:i/>
          <w:iCs/>
          <w:lang w:val="en-US" w:eastAsia="en-US"/>
        </w:rPr>
        <w:t xml:space="preserve">), </w:t>
      </w:r>
      <w:r>
        <w:rPr>
          <w:rStyle w:val="CharStyle12"/>
          <w:i/>
          <w:iCs/>
        </w:rPr>
        <w:t xml:space="preserve">Упаковка: не менее </w:t>
      </w:r>
      <w:r>
        <w:rPr>
          <w:rStyle w:val="CharStyle12"/>
          <w:i/>
          <w:iCs/>
          <w:lang w:val="en-US" w:eastAsia="en-US"/>
        </w:rPr>
        <w:t xml:space="preserve">910 </w:t>
      </w:r>
      <w:r>
        <w:rPr>
          <w:rStyle w:val="CharStyle12"/>
          <w:i/>
          <w:iCs/>
        </w:rPr>
        <w:t>мл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40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п.51 «Материал стоматологический слепочный силиконовый»: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«С-силикон очень высокой вязкости. Область применения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Для использования в различных техниках снятия слепков;Для С-силиконов</w:t>
      </w:r>
    </w:p>
    <w:p>
      <w:pPr>
        <w:pStyle w:val="Style11"/>
        <w:keepNext w:val="0"/>
        <w:keepLines w:val="0"/>
        <w:widowControl w:val="0"/>
        <w:shd w:val="clear" w:color="auto" w:fill="auto"/>
        <w:bidi w:val="0"/>
        <w:spacing w:before="0" w:after="0" w:line="240" w:lineRule="auto"/>
        <w:ind w:left="0" w:right="0" w:firstLine="960"/>
        <w:jc w:val="both"/>
      </w:pPr>
      <w:r>
        <w:rPr>
          <w:rStyle w:val="CharStyle12"/>
          <w:i/>
          <w:iCs/>
        </w:rPr>
        <w:t>Полисилоксан- эластомер, способный на основе реакции конденсации образовывать сетчатую</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структуру, базисная слепочная масса высокой вязкости. Время смешивания в интервале не менее </w:t>
      </w:r>
      <w:r>
        <w:rPr>
          <w:rStyle w:val="CharStyle12"/>
          <w:i/>
          <w:iCs/>
          <w:lang w:val="en-US" w:eastAsia="en-US"/>
        </w:rPr>
        <w:t xml:space="preserve">40 </w:t>
      </w:r>
      <w:r>
        <w:rPr>
          <w:rStyle w:val="CharStyle12"/>
          <w:i/>
          <w:iCs/>
        </w:rPr>
        <w:t xml:space="preserve">и не более </w:t>
      </w:r>
      <w:r>
        <w:rPr>
          <w:rStyle w:val="CharStyle12"/>
          <w:i/>
          <w:iCs/>
          <w:lang w:val="en-US" w:eastAsia="en-US"/>
        </w:rPr>
        <w:t xml:space="preserve">50 </w:t>
      </w:r>
      <w:r>
        <w:rPr>
          <w:rStyle w:val="CharStyle12"/>
          <w:i/>
          <w:iCs/>
        </w:rPr>
        <w:t xml:space="preserve">сек, время обработки не более </w:t>
      </w:r>
      <w:r>
        <w:rPr>
          <w:rStyle w:val="CharStyle12"/>
          <w:i/>
          <w:iCs/>
          <w:lang w:val="en-US" w:eastAsia="en-US"/>
        </w:rPr>
        <w:t xml:space="preserve">1 </w:t>
      </w:r>
      <w:r>
        <w:rPr>
          <w:rStyle w:val="CharStyle12"/>
          <w:i/>
          <w:iCs/>
        </w:rPr>
        <w:t xml:space="preserve">мин </w:t>
      </w:r>
      <w:r>
        <w:rPr>
          <w:rStyle w:val="CharStyle12"/>
          <w:i/>
          <w:iCs/>
          <w:lang w:val="en-US" w:eastAsia="en-US"/>
        </w:rPr>
        <w:t xml:space="preserve">30 </w:t>
      </w:r>
      <w:r>
        <w:rPr>
          <w:rStyle w:val="CharStyle12"/>
          <w:i/>
          <w:iCs/>
        </w:rPr>
        <w:t xml:space="preserve">сек, пребывание в полости рта от </w:t>
      </w:r>
      <w:r>
        <w:rPr>
          <w:rStyle w:val="CharStyle12"/>
          <w:i/>
          <w:iCs/>
          <w:lang w:val="en-US" w:eastAsia="en-US"/>
        </w:rPr>
        <w:t xml:space="preserve">3 </w:t>
      </w:r>
      <w:r>
        <w:rPr>
          <w:rStyle w:val="CharStyle12"/>
          <w:i/>
          <w:iCs/>
        </w:rPr>
        <w:t xml:space="preserve">мин </w:t>
      </w:r>
      <w:r>
        <w:rPr>
          <w:rStyle w:val="CharStyle12"/>
          <w:i/>
          <w:iCs/>
          <w:lang w:val="en-US" w:eastAsia="en-US"/>
        </w:rPr>
        <w:t xml:space="preserve">00 </w:t>
      </w:r>
      <w:r>
        <w:rPr>
          <w:rStyle w:val="CharStyle12"/>
          <w:i/>
          <w:iCs/>
        </w:rPr>
        <w:t xml:space="preserve">сек до </w:t>
      </w:r>
      <w:r>
        <w:rPr>
          <w:rStyle w:val="CharStyle12"/>
          <w:i/>
          <w:iCs/>
          <w:lang w:val="en-US" w:eastAsia="en-US"/>
        </w:rPr>
        <w:t xml:space="preserve">3 </w:t>
      </w:r>
      <w:r>
        <w:rPr>
          <w:rStyle w:val="CharStyle12"/>
          <w:i/>
          <w:iCs/>
        </w:rPr>
        <w:t xml:space="preserve">мин </w:t>
      </w:r>
      <w:r>
        <w:rPr>
          <w:rStyle w:val="CharStyle12"/>
          <w:i/>
          <w:iCs/>
          <w:lang w:val="en-US" w:eastAsia="en-US"/>
        </w:rPr>
        <w:t xml:space="preserve">10 </w:t>
      </w:r>
      <w:r>
        <w:rPr>
          <w:rStyle w:val="CharStyle12"/>
          <w:i/>
          <w:iCs/>
        </w:rPr>
        <w:t xml:space="preserve">сек, время схватывания не более </w:t>
      </w:r>
      <w:r>
        <w:rPr>
          <w:rStyle w:val="CharStyle12"/>
          <w:i/>
          <w:iCs/>
          <w:lang w:val="en-US" w:eastAsia="en-US"/>
        </w:rPr>
        <w:t xml:space="preserve">5 </w:t>
      </w:r>
      <w:r>
        <w:rPr>
          <w:rStyle w:val="CharStyle12"/>
          <w:i/>
          <w:iCs/>
        </w:rPr>
        <w:t xml:space="preserve">мин, деформация при сжатии не менее </w:t>
      </w:r>
      <w:r>
        <w:rPr>
          <w:rStyle w:val="CharStyle12"/>
          <w:i/>
          <w:iCs/>
          <w:lang w:val="en-US" w:eastAsia="en-US"/>
        </w:rPr>
        <w:t xml:space="preserve">1,3 </w:t>
      </w:r>
      <w:r>
        <w:rPr>
          <w:rStyle w:val="CharStyle12"/>
          <w:i/>
          <w:iCs/>
        </w:rPr>
        <w:t xml:space="preserve">не более </w:t>
      </w:r>
      <w:r>
        <w:rPr>
          <w:rStyle w:val="CharStyle12"/>
          <w:i/>
          <w:iCs/>
          <w:lang w:val="en-US" w:eastAsia="en-US"/>
        </w:rPr>
        <w:t xml:space="preserve">2,7%, </w:t>
      </w:r>
      <w:r>
        <w:rPr>
          <w:rStyle w:val="CharStyle12"/>
          <w:i/>
          <w:iCs/>
        </w:rPr>
        <w:t xml:space="preserve">упругое восстановление не менее </w:t>
      </w:r>
      <w:r>
        <w:rPr>
          <w:rStyle w:val="CharStyle12"/>
          <w:i/>
          <w:iCs/>
          <w:lang w:val="en-US" w:eastAsia="en-US"/>
        </w:rPr>
        <w:t>97,5%.</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Показания для применения: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Коррегирующий слой для материалов (базисного слепочного материала,позиции </w:t>
      </w:r>
      <w:r>
        <w:rPr>
          <w:rStyle w:val="CharStyle12"/>
          <w:i/>
          <w:iCs/>
          <w:lang w:val="en-US" w:eastAsia="en-US"/>
        </w:rPr>
        <w:t xml:space="preserve">№ 50 </w:t>
      </w:r>
      <w:r>
        <w:rPr>
          <w:rStyle w:val="CharStyle12"/>
          <w:i/>
          <w:iCs/>
        </w:rPr>
        <w:t xml:space="preserve">технического задания </w:t>
      </w:r>
      <w:r>
        <w:rPr>
          <w:rStyle w:val="CharStyle12"/>
          <w:i/>
          <w:iCs/>
          <w:lang w:val="en-US" w:eastAsia="en-US"/>
        </w:rPr>
        <w:t xml:space="preserve">), </w:t>
      </w:r>
      <w:r>
        <w:rPr>
          <w:rStyle w:val="CharStyle12"/>
          <w:i/>
          <w:iCs/>
        </w:rPr>
        <w:t xml:space="preserve">и активатора позиции </w:t>
      </w:r>
      <w:r>
        <w:rPr>
          <w:rStyle w:val="CharStyle12"/>
          <w:i/>
          <w:iCs/>
          <w:lang w:val="en-US" w:eastAsia="en-US"/>
        </w:rPr>
        <w:t xml:space="preserve">№ 52 </w:t>
      </w:r>
      <w:r>
        <w:rPr>
          <w:rStyle w:val="CharStyle12"/>
          <w:i/>
          <w:iCs/>
        </w:rPr>
        <w:t xml:space="preserve">технического задания </w:t>
      </w:r>
      <w:r>
        <w:rPr>
          <w:rStyle w:val="CharStyle12"/>
          <w:i/>
          <w:iCs/>
          <w:lang w:val="en-US" w:eastAsia="en-US"/>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не менее </w:t>
      </w:r>
      <w:r>
        <w:rPr>
          <w:rStyle w:val="CharStyle12"/>
          <w:i/>
          <w:iCs/>
          <w:lang w:val="en-US" w:eastAsia="en-US"/>
        </w:rPr>
        <w:t xml:space="preserve">140 </w:t>
      </w:r>
      <w:r>
        <w:rPr>
          <w:rStyle w:val="CharStyle12"/>
          <w:i/>
          <w:iCs/>
        </w:rPr>
        <w:t>мл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30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п.52 «Материал стоматологический слепочный силиконовый»: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«Универсальный активатор для замешивания оттискной массы и корригирующего слоя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С-силикон очень высокой вязкости. Полисилоксан- эластомер, способный на основе реакции конденсации образовывать сетчатую</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структуру, базисная слепочная масса высокой вязкости. Время смешивания в интервале не менее </w:t>
      </w:r>
      <w:r>
        <w:rPr>
          <w:rStyle w:val="CharStyle12"/>
          <w:i/>
          <w:iCs/>
          <w:lang w:val="en-US" w:eastAsia="en-US"/>
        </w:rPr>
        <w:t xml:space="preserve">40 </w:t>
      </w:r>
      <w:r>
        <w:rPr>
          <w:rStyle w:val="CharStyle12"/>
          <w:i/>
          <w:iCs/>
        </w:rPr>
        <w:t xml:space="preserve">и не более </w:t>
      </w:r>
      <w:r>
        <w:rPr>
          <w:rStyle w:val="CharStyle12"/>
          <w:i/>
          <w:iCs/>
          <w:lang w:val="en-US" w:eastAsia="en-US"/>
        </w:rPr>
        <w:t xml:space="preserve">50 </w:t>
      </w:r>
      <w:r>
        <w:rPr>
          <w:rStyle w:val="CharStyle12"/>
          <w:i/>
          <w:iCs/>
        </w:rPr>
        <w:t xml:space="preserve">сек, время обработки не более </w:t>
      </w:r>
      <w:r>
        <w:rPr>
          <w:rStyle w:val="CharStyle12"/>
          <w:i/>
          <w:iCs/>
          <w:lang w:val="en-US" w:eastAsia="en-US"/>
        </w:rPr>
        <w:t xml:space="preserve">1 </w:t>
      </w:r>
      <w:r>
        <w:rPr>
          <w:rStyle w:val="CharStyle12"/>
          <w:i/>
          <w:iCs/>
        </w:rPr>
        <w:t xml:space="preserve">мин </w:t>
      </w:r>
      <w:r>
        <w:rPr>
          <w:rStyle w:val="CharStyle12"/>
          <w:i/>
          <w:iCs/>
          <w:lang w:val="en-US" w:eastAsia="en-US"/>
        </w:rPr>
        <w:t xml:space="preserve">30 </w:t>
      </w:r>
      <w:r>
        <w:rPr>
          <w:rStyle w:val="CharStyle12"/>
          <w:i/>
          <w:iCs/>
        </w:rPr>
        <w:t xml:space="preserve">сек, пребывание в полости рта от </w:t>
      </w:r>
      <w:r>
        <w:rPr>
          <w:rStyle w:val="CharStyle12"/>
          <w:i/>
          <w:iCs/>
          <w:lang w:val="en-US" w:eastAsia="en-US"/>
        </w:rPr>
        <w:t xml:space="preserve">3 </w:t>
      </w:r>
      <w:r>
        <w:rPr>
          <w:rStyle w:val="CharStyle12"/>
          <w:i/>
          <w:iCs/>
        </w:rPr>
        <w:t xml:space="preserve">мин </w:t>
      </w:r>
      <w:r>
        <w:rPr>
          <w:rStyle w:val="CharStyle12"/>
          <w:i/>
          <w:iCs/>
          <w:lang w:val="en-US" w:eastAsia="en-US"/>
        </w:rPr>
        <w:t xml:space="preserve">00 </w:t>
      </w:r>
      <w:r>
        <w:rPr>
          <w:rStyle w:val="CharStyle12"/>
          <w:i/>
          <w:iCs/>
        </w:rPr>
        <w:t xml:space="preserve">сек до </w:t>
      </w:r>
      <w:r>
        <w:rPr>
          <w:rStyle w:val="CharStyle12"/>
          <w:i/>
          <w:iCs/>
          <w:lang w:val="en-US" w:eastAsia="en-US"/>
        </w:rPr>
        <w:t xml:space="preserve">3 </w:t>
      </w:r>
      <w:r>
        <w:rPr>
          <w:rStyle w:val="CharStyle12"/>
          <w:i/>
          <w:iCs/>
        </w:rPr>
        <w:t xml:space="preserve">мин </w:t>
      </w:r>
      <w:r>
        <w:rPr>
          <w:rStyle w:val="CharStyle12"/>
          <w:i/>
          <w:iCs/>
          <w:lang w:val="en-US" w:eastAsia="en-US"/>
        </w:rPr>
        <w:t xml:space="preserve">10 </w:t>
      </w:r>
      <w:r>
        <w:rPr>
          <w:rStyle w:val="CharStyle12"/>
          <w:i/>
          <w:iCs/>
        </w:rPr>
        <w:t xml:space="preserve">сек, время схватывания не более </w:t>
      </w:r>
      <w:r>
        <w:rPr>
          <w:rStyle w:val="CharStyle12"/>
          <w:i/>
          <w:iCs/>
          <w:lang w:val="en-US" w:eastAsia="en-US"/>
        </w:rPr>
        <w:t xml:space="preserve">5 </w:t>
      </w:r>
      <w:r>
        <w:rPr>
          <w:rStyle w:val="CharStyle12"/>
          <w:i/>
          <w:iCs/>
        </w:rPr>
        <w:t xml:space="preserve">мин, деформация при сжатии не менее </w:t>
      </w:r>
      <w:r>
        <w:rPr>
          <w:rStyle w:val="CharStyle12"/>
          <w:i/>
          <w:iCs/>
          <w:lang w:val="en-US" w:eastAsia="en-US"/>
        </w:rPr>
        <w:t xml:space="preserve">1,3 </w:t>
      </w:r>
      <w:r>
        <w:rPr>
          <w:rStyle w:val="CharStyle12"/>
          <w:i/>
          <w:iCs/>
        </w:rPr>
        <w:t xml:space="preserve">не более </w:t>
      </w:r>
      <w:r>
        <w:rPr>
          <w:rStyle w:val="CharStyle12"/>
          <w:i/>
          <w:iCs/>
          <w:lang w:val="en-US" w:eastAsia="en-US"/>
        </w:rPr>
        <w:t xml:space="preserve">2,7%, </w:t>
      </w:r>
      <w:r>
        <w:rPr>
          <w:rStyle w:val="CharStyle12"/>
          <w:i/>
          <w:iCs/>
        </w:rPr>
        <w:t xml:space="preserve">упругое восстановление не менее </w:t>
      </w:r>
      <w:r>
        <w:rPr>
          <w:rStyle w:val="CharStyle12"/>
          <w:i/>
          <w:iCs/>
          <w:lang w:val="en-US" w:eastAsia="en-US"/>
        </w:rPr>
        <w:t>97,5%.</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Показания для применения: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Универсальный активатор для материалов (базисного слепочного материала,позиции </w:t>
      </w:r>
      <w:r>
        <w:rPr>
          <w:rStyle w:val="CharStyle12"/>
          <w:i/>
          <w:iCs/>
          <w:lang w:val="en-US" w:eastAsia="en-US"/>
        </w:rPr>
        <w:t xml:space="preserve">№ 50 </w:t>
      </w:r>
      <w:r>
        <w:rPr>
          <w:rStyle w:val="CharStyle12"/>
          <w:i/>
          <w:iCs/>
        </w:rPr>
        <w:t xml:space="preserve">технического задания </w:t>
      </w:r>
      <w:r>
        <w:rPr>
          <w:rStyle w:val="CharStyle12"/>
          <w:i/>
          <w:iCs/>
          <w:lang w:val="en-US" w:eastAsia="en-US"/>
        </w:rPr>
        <w:t xml:space="preserve">), </w:t>
      </w:r>
      <w:r>
        <w:rPr>
          <w:rStyle w:val="CharStyle12"/>
          <w:i/>
          <w:iCs/>
        </w:rPr>
        <w:t xml:space="preserve">и коррегирующего слепочного материала(,позиции </w:t>
      </w:r>
      <w:r>
        <w:rPr>
          <w:rStyle w:val="CharStyle12"/>
          <w:i/>
          <w:iCs/>
          <w:lang w:val="en-US" w:eastAsia="en-US"/>
        </w:rPr>
        <w:t xml:space="preserve">№51 </w:t>
      </w:r>
      <w:r>
        <w:rPr>
          <w:rStyle w:val="CharStyle12"/>
          <w:i/>
          <w:iCs/>
        </w:rPr>
        <w:t xml:space="preserve">технического задания </w:t>
      </w:r>
      <w:r>
        <w:rPr>
          <w:rStyle w:val="CharStyle12"/>
          <w:i/>
          <w:iCs/>
          <w:lang w:val="en-US" w:eastAsia="en-US"/>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Упаковка: не менее </w:t>
      </w:r>
      <w:r>
        <w:rPr>
          <w:rStyle w:val="CharStyle12"/>
          <w:i/>
          <w:iCs/>
          <w:lang w:val="en-US" w:eastAsia="en-US"/>
        </w:rPr>
        <w:t xml:space="preserve">60 </w:t>
      </w:r>
      <w:r>
        <w:rPr>
          <w:rStyle w:val="CharStyle12"/>
          <w:i/>
          <w:iCs/>
        </w:rPr>
        <w:t>мл</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 xml:space="preserve">Остаточный срок годности не менее </w:t>
      </w:r>
      <w:r>
        <w:rPr>
          <w:rStyle w:val="CharStyle12"/>
          <w:i/>
          <w:iCs/>
          <w:lang w:val="en-US" w:eastAsia="en-US"/>
        </w:rPr>
        <w:t xml:space="preserve">30 </w:t>
      </w:r>
      <w:r>
        <w:rPr>
          <w:rStyle w:val="CharStyle12"/>
          <w:i/>
          <w:iCs/>
        </w:rPr>
        <w:t>месяцев»</w:t>
      </w:r>
      <w:r>
        <w:rPr>
          <w:rStyle w:val="CharStyle12"/>
        </w:rPr>
        <w:t>.</w:t>
      </w:r>
    </w:p>
    <w:p>
      <w:pPr>
        <w:pStyle w:val="Style11"/>
        <w:keepNext w:val="0"/>
        <w:keepLines w:val="0"/>
        <w:widowControl w:val="0"/>
        <w:shd w:val="clear" w:color="auto" w:fill="auto"/>
        <w:bidi w:val="0"/>
        <w:spacing w:before="0" w:after="0" w:line="233" w:lineRule="auto"/>
        <w:ind w:left="0" w:right="0" w:firstLine="720"/>
        <w:jc w:val="both"/>
      </w:pPr>
      <w:r>
        <w:rPr>
          <w:rStyle w:val="CharStyle12"/>
        </w:rPr>
        <w:t>Вместе с тем Комиссией Управления установлено, что в структурированной форме извещения, размещенной в соответствии ч.1 ст.42 Закона о контрактной системе, отсутствуют требования к характеристикам таких изделий, обозначенные Заказчиком в электроном документе «Техническое задание».</w:t>
      </w:r>
    </w:p>
    <w:p>
      <w:pPr>
        <w:pStyle w:val="Style11"/>
        <w:keepNext w:val="0"/>
        <w:keepLines w:val="0"/>
        <w:widowControl w:val="0"/>
        <w:shd w:val="clear" w:color="auto" w:fill="auto"/>
        <w:bidi w:val="0"/>
        <w:spacing w:before="0" w:after="0" w:line="233" w:lineRule="auto"/>
        <w:ind w:left="0" w:right="0" w:firstLine="720"/>
        <w:jc w:val="both"/>
      </w:pPr>
      <w:r>
        <w:rPr>
          <w:rStyle w:val="CharStyle12"/>
        </w:rPr>
        <w:t>Исходя из вышеизложенного Комиссия Управления приходит к выводу, что положения извещения сформированы Заказчиком таким образом, что не позволяют</w:t>
      </w:r>
      <w:r>
        <w:br w:type="page"/>
      </w:r>
    </w:p>
    <w:p>
      <w:pPr>
        <w:pStyle w:val="Style11"/>
        <w:keepNext w:val="0"/>
        <w:keepLines w:val="0"/>
        <w:widowControl w:val="0"/>
        <w:shd w:val="clear" w:color="auto" w:fill="auto"/>
        <w:bidi w:val="0"/>
        <w:spacing w:before="0" w:after="0" w:line="230" w:lineRule="auto"/>
        <w:ind w:left="0" w:right="0" w:firstLine="0"/>
        <w:jc w:val="both"/>
      </w:pPr>
      <w:r>
        <w:rPr>
          <w:rStyle w:val="CharStyle12"/>
        </w:rPr>
        <w:t>участникам закупки представить сведения о поставляемых товарах посредством заполнения структурированной формы извещения, размещенной в соответствии ч.1 ст.42 Закона о контрактной системе.</w:t>
      </w:r>
    </w:p>
    <w:p>
      <w:pPr>
        <w:pStyle w:val="Style11"/>
        <w:keepNext w:val="0"/>
        <w:keepLines w:val="0"/>
        <w:widowControl w:val="0"/>
        <w:shd w:val="clear" w:color="auto" w:fill="auto"/>
        <w:bidi w:val="0"/>
        <w:spacing w:before="0" w:after="0" w:line="230" w:lineRule="auto"/>
        <w:ind w:left="0" w:right="0" w:firstLine="740"/>
        <w:jc w:val="both"/>
      </w:pPr>
      <w:r>
        <w:rPr>
          <w:rStyle w:val="CharStyle12"/>
        </w:rPr>
        <w:t>Таким образом, на основании имеющихся документов и сведений, Комиссия Управления приходит к выводу о нарушении Заказчиком положений ч.6 ст.23, п.1 ч.1 ст.33, п.5 ч.1 ст.42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30" w:lineRule="auto"/>
        <w:ind w:left="0" w:right="0" w:firstLine="740"/>
        <w:jc w:val="both"/>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0" w:line="230" w:lineRule="auto"/>
        <w:ind w:left="0" w:right="0" w:firstLine="0"/>
        <w:jc w:val="center"/>
      </w:pPr>
      <w:r>
        <w:rPr>
          <w:rStyle w:val="CharStyle12"/>
          <w:b/>
          <w:bCs/>
        </w:rPr>
        <w:t>РЕШИЛА:</w:t>
      </w:r>
    </w:p>
    <w:p>
      <w:pPr>
        <w:pStyle w:val="Style11"/>
        <w:keepNext w:val="0"/>
        <w:keepLines w:val="0"/>
        <w:widowControl w:val="0"/>
        <w:numPr>
          <w:ilvl w:val="0"/>
          <w:numId w:val="13"/>
        </w:numPr>
        <w:shd w:val="clear" w:color="auto" w:fill="auto"/>
        <w:tabs>
          <w:tab w:pos="1146" w:val="left"/>
        </w:tabs>
        <w:bidi w:val="0"/>
        <w:spacing w:before="0" w:after="0" w:line="230" w:lineRule="auto"/>
        <w:ind w:left="0" w:right="0" w:firstLine="740"/>
        <w:jc w:val="both"/>
      </w:pPr>
      <w:r>
        <w:rPr>
          <w:rStyle w:val="CharStyle12"/>
        </w:rPr>
        <w:t xml:space="preserve">Признать жалобу ООО «МК «Доктор Чехов» на действия комиссии ГБУЗ «ДСП </w:t>
      </w:r>
      <w:r>
        <w:rPr>
          <w:rStyle w:val="CharStyle12"/>
          <w:lang w:val="en-US" w:eastAsia="en-US"/>
        </w:rPr>
        <w:t xml:space="preserve">№ 63 </w:t>
      </w:r>
      <w:r>
        <w:rPr>
          <w:rStyle w:val="CharStyle12"/>
        </w:rPr>
        <w:t>ДЗМ» обоснованной.</w:t>
      </w:r>
    </w:p>
    <w:p>
      <w:pPr>
        <w:pStyle w:val="Style11"/>
        <w:keepNext w:val="0"/>
        <w:keepLines w:val="0"/>
        <w:widowControl w:val="0"/>
        <w:numPr>
          <w:ilvl w:val="0"/>
          <w:numId w:val="13"/>
        </w:numPr>
        <w:shd w:val="clear" w:color="auto" w:fill="auto"/>
        <w:tabs>
          <w:tab w:pos="1142" w:val="left"/>
        </w:tabs>
        <w:bidi w:val="0"/>
        <w:spacing w:before="0" w:after="0" w:line="230" w:lineRule="auto"/>
        <w:ind w:left="0" w:right="0" w:firstLine="740"/>
        <w:jc w:val="both"/>
      </w:pPr>
      <w:r>
        <w:rPr>
          <w:rStyle w:val="CharStyle12"/>
        </w:rPr>
        <w:t>Признать в действиях комиссии по осуществлению закупок Заказчика нарушение пп.«а» п.1 ч.5 ст.49 Закона о контрактной системе, в действиях Заказчика нарушение ч.6 ст.23,п.1 ч.1 ст.33, п.5 ч.1 ст.42 Закона о контрактной системе.</w:t>
      </w:r>
    </w:p>
    <w:p>
      <w:pPr>
        <w:pStyle w:val="Style11"/>
        <w:keepNext w:val="0"/>
        <w:keepLines w:val="0"/>
        <w:widowControl w:val="0"/>
        <w:numPr>
          <w:ilvl w:val="0"/>
          <w:numId w:val="13"/>
        </w:numPr>
        <w:shd w:val="clear" w:color="auto" w:fill="auto"/>
        <w:tabs>
          <w:tab w:pos="1142" w:val="left"/>
        </w:tabs>
        <w:bidi w:val="0"/>
        <w:spacing w:before="0" w:after="0" w:line="230" w:lineRule="auto"/>
        <w:ind w:left="0" w:right="0" w:firstLine="740"/>
        <w:jc w:val="both"/>
      </w:pPr>
      <w:r>
        <w:rPr>
          <w:rStyle w:val="CharStyle12"/>
        </w:rPr>
        <w:t>Выдать Заказчику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numPr>
          <w:ilvl w:val="0"/>
          <w:numId w:val="13"/>
        </w:numPr>
        <w:shd w:val="clear" w:color="auto" w:fill="auto"/>
        <w:tabs>
          <w:tab w:pos="1142" w:val="left"/>
        </w:tabs>
        <w:bidi w:val="0"/>
        <w:spacing w:before="0" w:after="240" w:line="230" w:lineRule="auto"/>
        <w:ind w:left="0" w:right="0" w:firstLine="740"/>
        <w:jc w:val="both"/>
      </w:pPr>
      <w:r>
        <w:rPr>
          <w:rStyle w:val="CharStyle12"/>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33" w:lineRule="auto"/>
        <w:ind w:left="0" w:right="0" w:firstLine="74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62" w:right="551" w:bottom="1138" w:left="1087" w:header="0" w:footer="3" w:gutter="0"/>
          <w:cols w:space="720"/>
          <w:noEndnote/>
          <w:rtlGutter w:val="0"/>
          <w:docGrid w:linePitch="360"/>
        </w:sectPr>
      </w:pPr>
      <w:r>
        <mc:AlternateContent>
          <mc:Choice Requires="wps">
            <w:drawing>
              <wp:anchor distT="127000" distB="215900" distL="0" distR="0" simplePos="0" relativeHeight="125829379" behindDoc="0" locked="0" layoutInCell="1" allowOverlap="1">
                <wp:simplePos x="0" y="0"/>
                <wp:positionH relativeFrom="page">
                  <wp:posOffset>728345</wp:posOffset>
                </wp:positionH>
                <wp:positionV relativeFrom="paragraph">
                  <wp:posOffset>127000</wp:posOffset>
                </wp:positionV>
                <wp:extent cx="1844040" cy="250190"/>
                <wp:wrapTopAndBottom/>
                <wp:docPr id="22" name="Shape 22"/>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8" type="#_x0000_t202" style="position:absolute;margin-left:57.350000000000001pt;margin-top:10.pt;width:145.20000000000002pt;height:19.699999999999999pt;z-index:-125829374;mso-wrap-distance-left:0;mso-wrap-distance-top:10.pt;mso-wrap-distance-right:0;mso-wrap-distance-bottom:17.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96850" distB="0" distL="0" distR="1786255" simplePos="0" relativeHeight="125829381" behindDoc="0" locked="0" layoutInCell="1" allowOverlap="1">
            <wp:simplePos x="0" y="0"/>
            <wp:positionH relativeFrom="page">
              <wp:posOffset>3112135</wp:posOffset>
            </wp:positionH>
            <wp:positionV relativeFrom="paragraph">
              <wp:posOffset>196850</wp:posOffset>
            </wp:positionV>
            <wp:extent cx="359410" cy="396240"/>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3532505</wp:posOffset>
                </wp:positionH>
                <wp:positionV relativeFrom="paragraph">
                  <wp:posOffset>285115</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8.15000000000003pt;margin-top:22.44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5900" distL="0" distR="0" simplePos="0" relativeHeight="125829382" behindDoc="0" locked="0" layoutInCell="1" allowOverlap="1">
                <wp:simplePos x="0" y="0"/>
                <wp:positionH relativeFrom="page">
                  <wp:posOffset>5897880</wp:posOffset>
                </wp:positionH>
                <wp:positionV relativeFrom="paragraph">
                  <wp:posOffset>127000</wp:posOffset>
                </wp:positionV>
                <wp:extent cx="1307465" cy="250190"/>
                <wp:wrapTopAndBottom/>
                <wp:docPr id="28" name="Shape 28"/>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54" type="#_x0000_t202" style="position:absolute;margin-left:464.40000000000003pt;margin-top:10.pt;width:102.95pt;height:19.699999999999999pt;z-index:-125829371;mso-wrap-distance-left:0;mso-wrap-distance-top:10.pt;mso-wrap-distance-right:0;mso-wrap-distance-bottom:17.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180" w:line="240" w:lineRule="auto"/>
        <w:ind w:right="0" w:firstLine="0"/>
        <w:jc w:val="left"/>
      </w:pPr>
      <w:r>
        <w:rPr>
          <w:rStyle w:val="CharStyle22"/>
        </w:rPr>
        <w:t xml:space="preserve">Действителен с 19.05.2025 </w:t>
      </w:r>
      <w:r>
        <w:rPr>
          <w:rStyle w:val="CharStyle22"/>
          <w:color w:val="5D5D5D"/>
        </w:rPr>
        <w:t xml:space="preserve">по </w:t>
      </w:r>
      <w:r>
        <w:rPr>
          <w:rStyle w:val="CharStyle22"/>
        </w:rPr>
        <w:t>12.08.2026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30" w:line="240" w:lineRule="auto"/>
        <w:ind w:left="0" w:right="0" w:firstLine="800"/>
        <w:jc w:val="left"/>
      </w:pPr>
      <w:r>
        <w:drawing>
          <wp:anchor distT="0" distB="0" distL="114300" distR="1900555" simplePos="0" relativeHeight="125829384" behindDoc="0" locked="0" layoutInCell="1" allowOverlap="1">
            <wp:simplePos x="0" y="0"/>
            <wp:positionH relativeFrom="page">
              <wp:posOffset>3112135</wp:posOffset>
            </wp:positionH>
            <wp:positionV relativeFrom="paragraph">
              <wp:posOffset>12700</wp:posOffset>
            </wp:positionV>
            <wp:extent cx="359410" cy="39624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3529965</wp:posOffset>
                </wp:positionH>
                <wp:positionV relativeFrom="paragraph">
                  <wp:posOffset>100965</wp:posOffset>
                </wp:positionV>
                <wp:extent cx="1725295" cy="259080"/>
                <wp:wrapNone/>
                <wp:docPr id="32" name="Shape 32"/>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94999999999999pt;margin-top:7.9500000000000002pt;width:135.84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66" w:lineRule="auto"/>
        <w:ind w:right="0" w:firstLine="0"/>
        <w:jc w:val="left"/>
      </w:pPr>
      <w:r>
        <w:rPr>
          <w:rStyle w:val="CharStyle22"/>
        </w:rPr>
        <w:t xml:space="preserve">Кому выдан: </w:t>
      </w:r>
      <w:r>
        <w:rPr>
          <w:rStyle w:val="CharStyle22"/>
          <w:color w:val="000000"/>
        </w:rPr>
        <w:t>Матюшенко Александр Александрович</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4F595A5C3E5ABB2DD77161F08559FC07</w:t>
      </w:r>
    </w:p>
    <w:p>
      <w:pPr>
        <w:pStyle w:val="Style21"/>
        <w:keepNext w:val="0"/>
        <w:keepLines w:val="0"/>
        <w:widowControl w:val="0"/>
        <w:shd w:val="clear" w:color="auto" w:fill="auto"/>
        <w:bidi w:val="0"/>
        <w:spacing w:before="0" w:after="180" w:line="266" w:lineRule="auto"/>
        <w:ind w:right="0" w:firstLine="0"/>
        <w:jc w:val="left"/>
      </w:pPr>
      <w:r>
        <w:rPr>
          <w:rStyle w:val="CharStyle22"/>
        </w:rPr>
        <w:t xml:space="preserve">Действителен с 22.07.2025 </w:t>
      </w:r>
      <w:r>
        <w:rPr>
          <w:rStyle w:val="CharStyle22"/>
          <w:color w:val="5D5D5D"/>
        </w:rPr>
        <w:t xml:space="preserve">по </w:t>
      </w:r>
      <w:r>
        <w:rPr>
          <w:rStyle w:val="CharStyle22"/>
        </w:rPr>
        <w:t>15.10.2026</w:t>
      </w:r>
    </w:p>
    <w:p>
      <w:pPr>
        <w:pStyle w:val="Style11"/>
        <w:keepNext w:val="0"/>
        <w:keepLines w:val="0"/>
        <w:widowControl w:val="0"/>
        <w:shd w:val="clear" w:color="auto" w:fill="auto"/>
        <w:bidi w:val="0"/>
        <w:spacing w:before="0" w:after="330" w:line="240" w:lineRule="auto"/>
        <w:ind w:left="0" w:right="0" w:firstLine="640"/>
        <w:jc w:val="left"/>
      </w:pPr>
      <w:r>
        <w:drawing>
          <wp:anchor distT="0" distB="0" distL="114300" distR="1900555" simplePos="0" relativeHeight="125829385" behindDoc="0" locked="0" layoutInCell="1" allowOverlap="1">
            <wp:simplePos x="0" y="0"/>
            <wp:positionH relativeFrom="page">
              <wp:posOffset>3112135</wp:posOffset>
            </wp:positionH>
            <wp:positionV relativeFrom="paragraph">
              <wp:posOffset>25400</wp:posOffset>
            </wp:positionV>
            <wp:extent cx="359410" cy="408305"/>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5"/>
                    <a:stretch/>
                  </pic:blipFill>
                  <pic:spPr>
                    <a:xfrm>
                      <a:ext cx="359410" cy="4083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3532505</wp:posOffset>
                </wp:positionH>
                <wp:positionV relativeFrom="paragraph">
                  <wp:posOffset>123190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8.15000000000003pt;margin-top:9.700000000000001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А.И. Рахматуллаев</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Рахматуллаев Алексей Ильич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7AEE97A08C8432425F146F6255A521C3</w:t>
      </w:r>
    </w:p>
    <w:p>
      <w:pPr>
        <w:pStyle w:val="Style21"/>
        <w:keepNext w:val="0"/>
        <w:keepLines w:val="0"/>
        <w:widowControl w:val="0"/>
        <w:shd w:val="clear" w:color="auto" w:fill="auto"/>
        <w:bidi w:val="0"/>
        <w:spacing w:before="0" w:after="420" w:line="240" w:lineRule="auto"/>
        <w:ind w:right="0" w:firstLine="0"/>
        <w:jc w:val="left"/>
      </w:pPr>
      <w:r>
        <w:rPr>
          <w:rStyle w:val="CharStyle22"/>
        </w:rPr>
        <w:t xml:space="preserve">Действителен с 12.11.2024 </w:t>
      </w:r>
      <w:r>
        <w:rPr>
          <w:rStyle w:val="CharStyle22"/>
          <w:color w:val="5D5D5D"/>
        </w:rPr>
        <w:t xml:space="preserve">по </w:t>
      </w:r>
      <w:r>
        <w:rPr>
          <w:rStyle w:val="CharStyle22"/>
        </w:rPr>
        <w:t>05.02.2026</w:t>
      </w:r>
    </w:p>
    <w:p>
      <w:pPr>
        <w:pStyle w:val="Style26"/>
        <w:keepNext w:val="0"/>
        <w:keepLines w:val="0"/>
        <w:widowControl w:val="0"/>
        <w:shd w:val="clear" w:color="auto" w:fill="auto"/>
        <w:bidi w:val="0"/>
        <w:spacing w:before="0" w:line="240" w:lineRule="auto"/>
        <w:ind w:left="0" w:right="0" w:firstLine="0"/>
        <w:jc w:val="left"/>
      </w:pPr>
      <w:r>
        <w:rPr>
          <w:rStyle w:val="CharStyle27"/>
        </w:rPr>
        <w:t>Исп.Рахматуллаев А.И. тел.+7 495 784 75 05</w:t>
      </w:r>
    </w:p>
    <w:sectPr>
      <w:footnotePr>
        <w:pos w:val="pageBottom"/>
        <w:numFmt w:val="decimal"/>
        <w:numRestart w:val="continuous"/>
      </w:footnotePr>
      <w:type w:val="continuous"/>
      <w:pgSz w:w="11900" w:h="16840"/>
      <w:pgMar w:top="1162" w:right="536" w:bottom="113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716280</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2025-42045</w:t>
                          </w:r>
                        </w:p>
                      </w:txbxContent>
                    </wps:txbx>
                    <wps:bodyPr wrap="none" lIns="0" tIns="0" rIns="0" bIns="0">
                      <a:spAutoFit/>
                    </wps:bodyPr>
                  </wps:wsp>
                </a:graphicData>
              </a:graphic>
            </wp:anchor>
          </w:drawing>
        </mc:Choice>
        <mc:Fallback>
          <w:pict>
            <v:shape id="_x0000_s1030" type="#_x0000_t202" style="position:absolute;margin-left:56.399999999999999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2025-42045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2630" cy="103505"/>
              <wp:wrapNone/>
              <wp:docPr id="6" name="Shape 6"/>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2025-42045</w:t>
                          </w:r>
                        </w:p>
                      </w:txbxContent>
                    </wps:txbx>
                    <wps:bodyPr wrap="none" lIns="0" tIns="0" rIns="0" bIns="0">
                      <a:spAutoFit/>
                    </wps:bodyPr>
                  </wps:wsp>
                </a:graphicData>
              </a:graphic>
            </wp:anchor>
          </w:drawing>
        </mc:Choice>
        <mc:Fallback>
          <w:pict>
            <v:shape id="_x0000_s1032" type="#_x0000_t202" style="position:absolute;margin-left:57.pt;margin-top:804.5pt;width:56.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2025-42045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716280</wp:posOffset>
              </wp:positionH>
              <wp:positionV relativeFrom="page">
                <wp:posOffset>10092690</wp:posOffset>
              </wp:positionV>
              <wp:extent cx="722630" cy="103505"/>
              <wp:wrapNone/>
              <wp:docPr id="14" name="Shape 1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2025-42045</w:t>
                          </w:r>
                        </w:p>
                      </w:txbxContent>
                    </wps:txbx>
                    <wps:bodyPr wrap="none" lIns="0" tIns="0" rIns="0" bIns="0">
                      <a:spAutoFit/>
                    </wps:bodyPr>
                  </wps:wsp>
                </a:graphicData>
              </a:graphic>
            </wp:anchor>
          </w:drawing>
        </mc:Choice>
        <mc:Fallback>
          <w:pict>
            <v:shape id="_x0000_s1040" type="#_x0000_t202" style="position:absolute;margin-left:56.399999999999999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2025-42045</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716280</wp:posOffset>
              </wp:positionH>
              <wp:positionV relativeFrom="page">
                <wp:posOffset>10092690</wp:posOffset>
              </wp:positionV>
              <wp:extent cx="722630" cy="103505"/>
              <wp:wrapNone/>
              <wp:docPr id="20" name="Shape 20"/>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2025-42045</w:t>
                          </w:r>
                        </w:p>
                      </w:txbxContent>
                    </wps:txbx>
                    <wps:bodyPr wrap="none" lIns="0" tIns="0" rIns="0" bIns="0">
                      <a:spAutoFit/>
                    </wps:bodyPr>
                  </wps:wsp>
                </a:graphicData>
              </a:graphic>
            </wp:anchor>
          </w:drawing>
        </mc:Choice>
        <mc:Fallback>
          <w:pict>
            <v:shape id="_x0000_s1046" type="#_x0000_t202" style="position:absolute;margin-left:56.399999999999999pt;margin-top:794.70000000000005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2025-42045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3876675</wp:posOffset>
              </wp:positionH>
              <wp:positionV relativeFrom="page">
                <wp:posOffset>473710</wp:posOffset>
              </wp:positionV>
              <wp:extent cx="152400" cy="85090"/>
              <wp:wrapNone/>
              <wp:docPr id="2" name="Shape 2"/>
              <a:graphic xmlns:a="http://schemas.openxmlformats.org/drawingml/2006/main">
                <a:graphicData uri="http://schemas.microsoft.com/office/word/2010/wordprocessingShape">
                  <wps:wsp>
                    <wps:cNvSpPr txBox="1"/>
                    <wps:spPr>
                      <a:xfrm>
                        <a:ext cx="15240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5.25pt;margin-top:37.300000000000004pt;width:12.pt;height:6.7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3888105</wp:posOffset>
              </wp:positionH>
              <wp:positionV relativeFrom="page">
                <wp:posOffset>488315</wp:posOffset>
              </wp:positionV>
              <wp:extent cx="115570" cy="106680"/>
              <wp:wrapNone/>
              <wp:docPr id="10" name="Shape 10"/>
              <a:graphic xmlns:a="http://schemas.openxmlformats.org/drawingml/2006/main">
                <a:graphicData uri="http://schemas.microsoft.com/office/word/2010/wordprocessingShape">
                  <wps:wsp>
                    <wps:cNvSpPr txBox="1"/>
                    <wps:spPr>
                      <a:xfrm>
                        <a:ext cx="1155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6.15000000000003pt;margin-top:38.450000000000003pt;width:9.0999999999999996pt;height:8.4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3876675</wp:posOffset>
              </wp:positionH>
              <wp:positionV relativeFrom="page">
                <wp:posOffset>473710</wp:posOffset>
              </wp:positionV>
              <wp:extent cx="152400" cy="85090"/>
              <wp:wrapNone/>
              <wp:docPr id="12" name="Shape 12"/>
              <a:graphic xmlns:a="http://schemas.openxmlformats.org/drawingml/2006/main">
                <a:graphicData uri="http://schemas.microsoft.com/office/word/2010/wordprocessingShape">
                  <wps:wsp>
                    <wps:cNvSpPr txBox="1"/>
                    <wps:spPr>
                      <a:xfrm>
                        <a:ext cx="15240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5.25pt;margin-top:37.300000000000004pt;width:12.pt;height:6.7000000000000002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3888105</wp:posOffset>
              </wp:positionH>
              <wp:positionV relativeFrom="page">
                <wp:posOffset>488315</wp:posOffset>
              </wp:positionV>
              <wp:extent cx="115570" cy="106680"/>
              <wp:wrapNone/>
              <wp:docPr id="16" name="Shape 16"/>
              <a:graphic xmlns:a="http://schemas.openxmlformats.org/drawingml/2006/main">
                <a:graphicData uri="http://schemas.microsoft.com/office/word/2010/wordprocessingShape">
                  <wps:wsp>
                    <wps:cNvSpPr txBox="1"/>
                    <wps:spPr>
                      <a:xfrm>
                        <a:ext cx="1155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6.15000000000003pt;margin-top:38.450000000000003pt;width:9.0999999999999996pt;height:8.4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3876675</wp:posOffset>
              </wp:positionH>
              <wp:positionV relativeFrom="page">
                <wp:posOffset>473710</wp:posOffset>
              </wp:positionV>
              <wp:extent cx="152400" cy="85090"/>
              <wp:wrapNone/>
              <wp:docPr id="18" name="Shape 18"/>
              <a:graphic xmlns:a="http://schemas.openxmlformats.org/drawingml/2006/main">
                <a:graphicData uri="http://schemas.microsoft.com/office/word/2010/wordprocessingShape">
                  <wps:wsp>
                    <wps:cNvSpPr txBox="1"/>
                    <wps:spPr>
                      <a:xfrm>
                        <a:ext cx="15240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4" type="#_x0000_t202" style="position:absolute;margin-left:305.25pt;margin-top:37.300000000000004pt;width:12.pt;height:6.7000000000000002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24242"/>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4)"/>
    <w:basedOn w:val="Normal"/>
    <w:link w:val="CharStyle20"/>
    <w:pPr>
      <w:widowControl w:val="0"/>
      <w:shd w:val="clear" w:color="auto" w:fill="auto"/>
      <w:spacing w:after="100"/>
      <w:ind w:left="454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840"/>
    </w:pPr>
    <w:rPr>
      <w:rFonts w:ascii="Arial" w:eastAsia="Arial" w:hAnsi="Arial" w:cs="Arial"/>
      <w:b w:val="0"/>
      <w:bCs w:val="0"/>
      <w:i w:val="0"/>
      <w:iCs w:val="0"/>
      <w:smallCaps w:val="0"/>
      <w:strike w:val="0"/>
      <w:color w:val="424242"/>
      <w:sz w:val="12"/>
      <w:szCs w:val="12"/>
      <w:u w:val="none"/>
    </w:rPr>
  </w:style>
  <w:style w:type="paragraph" w:customStyle="1" w:styleId="Style26">
    <w:name w:val="Body text (5)"/>
    <w:basedOn w:val="Normal"/>
    <w:link w:val="CharStyle27"/>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