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42290" cy="57277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2290" cy="5727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1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537" w:bottom="1221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  <w:b/>
          <w:bCs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  <w:b/>
          <w:bCs/>
        </w:rPr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8"/>
          <w:b/>
          <w:bCs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</w:pPr>
      <w:r>
        <w:rPr>
          <w:rStyle w:val="CharStyle8"/>
          <w:b/>
          <w:bCs/>
        </w:rPr>
        <w:t>Федеральной антимонопольной службы</w:t>
        <w:br/>
        <w:t>по Тюменской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20"/>
        <w:jc w:val="left"/>
      </w:pPr>
      <w:r>
        <w:rPr>
          <w:rStyle w:val="CharStyle8"/>
        </w:rPr>
        <w:t>625048, г. Тюмень, ул. Холодильная, 58а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20"/>
        <w:jc w:val="left"/>
      </w:pPr>
      <w:r>
        <w:rPr>
          <w:rStyle w:val="CharStyle8"/>
        </w:rPr>
        <w:t>тел. (3452) 50-31-55, факс (3452) 50-59-14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"mailto:to72@fas.gov.ra" </w:instrText>
      </w:r>
      <w:r>
        <w:fldChar w:fldCharType="separate"/>
      </w:r>
      <w:r>
        <w:rPr>
          <w:rStyle w:val="CharStyle6"/>
          <w:lang w:val="en-US" w:eastAsia="en-US"/>
        </w:rPr>
        <w:t>to72@fas.gov.ra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1.09.2025</w:t>
        <w:tab/>
      </w:r>
      <w:r>
        <w:fldChar w:fldCharType="end"/>
      </w:r>
      <w:r>
        <w:rPr>
          <w:rStyle w:val="CharStyle12"/>
        </w:rPr>
        <w:t>№ ЮВ/5769/25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 направлении решения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АО «Сбербанк-АСТ»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</w:rPr>
        <w:t>ул. Большой Саввинский переулок д. 12, строен. 9, г. Москва, 119435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Управление государственных закупок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Тюменской области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</w:rPr>
        <w:t>ул. Республики д. 24, г. Тюмень, 625003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ООО «Портер»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</w:rPr>
        <w:t>ул. Фабричная д. 1, г. Щёлково, Московская область, 141108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617" w:bottom="1217" w:left="1101" w:header="0" w:footer="3" w:gutter="0"/>
          <w:cols w:num="2" w:space="720" w:equalWidth="0">
            <w:col w:w="4325" w:space="979"/>
            <w:col w:w="4877"/>
          </w:cols>
          <w:noEndnote/>
          <w:rtlGutter w:val="0"/>
          <w:docGrid w:linePitch="360"/>
        </w:sectPr>
      </w:pPr>
      <w:r>
        <w:rPr>
          <w:rStyle w:val="CharStyle16"/>
        </w:rPr>
        <w:t>Заказчикам по списку рассылки</w:t>
      </w: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6"/>
          <w:b/>
          <w:bCs/>
        </w:rPr>
        <w:t>РЕШЕНИЕ № 072/06/44/127/2025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990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16"/>
        </w:rPr>
        <w:t>10 сентября 2025 года</w:t>
        <w:tab/>
        <w:t>г. Тюмень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Комиссия Управления Федеральной антимонопольной службы по Тюменской области по контролю в сфере закупок товаров, работ, услуг для обеспечения государственных и муниципальных нужд (далее – Комиссия, антимонопольный орган)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Председатель комиссии – заместитель руководителя управления Верзун Ю.Д.,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Главный специалист-эксперт отдела контроля закупок Назаров И.Г.,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Ведущий специалист-эксперт отдела контроля за соблюдением законодательства Лукьяненко А.С.,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540"/>
        <w:jc w:val="both"/>
      </w:pPr>
      <w:r>
        <w:rPr>
          <w:rStyle w:val="CharStyle16"/>
        </w:rPr>
        <w:t>в отсутствие представителей заказчиков: ГБУЗ ТО «Областная больница № 4» (г. Ишим), ГБУЗ ТО «Областная больница № 11 (р.п. Голышманово) (далее – заказчик), извещенных надлежащим образом о дате и времени рассмотрения дела,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540"/>
        <w:jc w:val="both"/>
      </w:pPr>
      <w:r>
        <w:rPr>
          <w:rStyle w:val="CharStyle16"/>
        </w:rPr>
        <w:t>с участием представителя уполномоченного органа: Управления государственных закупок Тюменской области (далее – уполномоченный орган), Жуковой И.А. по доверенности № 13 от 23.08.2025,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540"/>
        <w:jc w:val="both"/>
      </w:pPr>
      <w:r>
        <w:rPr>
          <w:rStyle w:val="CharStyle16"/>
        </w:rPr>
        <w:t>в отсутствие заявителя: ООО «Портер» (далее – заявитель, Общество), извещенного надлежащим образом о дате и времени рассмотрения дела,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200" w:right="0" w:firstLine="540"/>
        <w:jc w:val="both"/>
      </w:pPr>
      <w:r>
        <w:rPr>
          <w:rStyle w:val="CharStyle16"/>
        </w:rPr>
        <w:t xml:space="preserve">рассмотрев в дистанционном режиме посредством плагина видеоконференции </w:t>
      </w:r>
      <w:r>
        <w:rPr>
          <w:rStyle w:val="CharStyle16"/>
          <w:lang w:val="en-US" w:eastAsia="en-US"/>
        </w:rPr>
        <w:t xml:space="preserve">TrueConf </w:t>
      </w:r>
      <w:r>
        <w:rPr>
          <w:rStyle w:val="CharStyle16"/>
        </w:rPr>
        <w:t>в порядке, предусмотренном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системе, Закон № 44-ФЗ), жалобы ООО «Портер» на действия комиссии по осуществлению закупок Управления государственных закупок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19"/>
        </w:rPr>
        <w:t>1IIIIIIIIIIIIIIIIIIIIIII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Тюменской области при проведении следующих электронных аукционов: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на поставку медицинских изделий: Катетер аспирационный трахеальный (реестровый номер закупки </w:t>
      </w:r>
      <w:r>
        <w:rPr>
          <w:rStyle w:val="CharStyle16"/>
          <w:lang w:val="en-US" w:eastAsia="en-US"/>
        </w:rPr>
        <w:t>0167200003425006169);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280" w:line="240" w:lineRule="auto"/>
        <w:ind w:left="0" w:right="0" w:firstLine="540"/>
        <w:jc w:val="both"/>
      </w:pPr>
      <w:r>
        <w:rPr>
          <w:rStyle w:val="CharStyle16"/>
        </w:rPr>
        <w:t xml:space="preserve">на поставку медицинских изделий: Катетер аспирационный трахеальный (реестровый номер закупки </w:t>
      </w:r>
      <w:r>
        <w:rPr>
          <w:rStyle w:val="CharStyle16"/>
          <w:lang w:val="en-US" w:eastAsia="en-US"/>
        </w:rPr>
        <w:t>0167200003425006203),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6"/>
          <w:b/>
          <w:bCs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В Управление Федеральной антимонопольной службы по Тюменской области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Тюменское УФАС России) поступили жалобы ООО «Портер» на действия комиссии по осуществлению закупок Управления государственных закупок Тюменской области при проведении электронных аукционов: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на поставку медицинских изделий: Катетер аспирационный трахеальный (реестровый номер закупки </w:t>
      </w:r>
      <w:r>
        <w:rPr>
          <w:rStyle w:val="CharStyle16"/>
          <w:lang w:val="en-US" w:eastAsia="en-US"/>
        </w:rPr>
        <w:t>0167200003425006169);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на поставку медицинских изделий: Катетер аспирационный трахеальный (реестровый номер закупки </w:t>
      </w:r>
      <w:r>
        <w:rPr>
          <w:rStyle w:val="CharStyle16"/>
          <w:lang w:val="en-US" w:eastAsia="en-US"/>
        </w:rPr>
        <w:t>0167200003425006203)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Указанные жалобы заявителя признаны соответствующими требованиям, предусмотренным статьёй </w:t>
      </w:r>
      <w:r>
        <w:rPr>
          <w:rStyle w:val="CharStyle16"/>
          <w:lang w:val="en-US" w:eastAsia="en-US"/>
        </w:rPr>
        <w:t xml:space="preserve">105 </w:t>
      </w:r>
      <w:r>
        <w:rPr>
          <w:rStyle w:val="CharStyle16"/>
        </w:rPr>
        <w:t xml:space="preserve">Закона о контрактной системе, и принята к рассмотрению. Во исполнение требований части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105 </w:t>
      </w:r>
      <w:r>
        <w:rPr>
          <w:rStyle w:val="CharStyle16"/>
        </w:rPr>
        <w:t xml:space="preserve">Закона о контрактной системе информация о содержании поступившей жалобы, времени и месте ее рассмотрения размещены в реестре жалоб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6"/>
          <w:lang w:val="en-US" w:eastAsia="en-US"/>
        </w:rPr>
        <w:t>(www.zakupki.gov.ru</w:t>
      </w:r>
      <w:r>
        <w:fldChar w:fldCharType="end"/>
      </w:r>
      <w:r>
        <w:rPr>
          <w:rStyle w:val="CharStyle16"/>
          <w:lang w:val="en-US" w:eastAsia="en-US"/>
        </w:rPr>
        <w:t>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Поскольку жалобы заявителя содержат аналогичные доводы, рассмотрение жалоб объединено в рамках одной проверки, по которой Комиссией Тюменского УФАС России принимается единое решение.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Заявитель в жалобах указывает, что комиссия по осуществлению закупок ненадлежащим образом осуществила рассмотрение заявок участников закупки поскольку ООО «Портер» в составе заявки был представлен полный комплект документов, подтверждающих страну происхождения поставляемого товара (Беларусь).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Уполномоченным органом письменные возражения на жалобы заявителя представлены, просит признать жалобы заявителя необоснованными.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Оператором электронной площадки АО «Сбербанк-АСТ» на ранее направленный запрос Тюменского УФАС России представлены в электронном виде все заявки участников, поступившие на участие в закупке.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В ходе контрольного мероприятия Комиссией Тюменского УФАС России были изучены документы и информация, полученные путем формирования запроса в Государственной информационной системе «Независимый регистратор»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ГИС «НР»):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извещение о проведении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5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протоколы, составленные в ходе проведения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6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заявки участников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8" w:val="left"/>
        </w:tabs>
        <w:bidi w:val="0"/>
        <w:spacing w:before="0" w:after="280" w:line="240" w:lineRule="auto"/>
        <w:ind w:left="0" w:right="0" w:firstLine="540"/>
        <w:jc w:val="both"/>
      </w:pPr>
      <w:r>
        <w:rPr>
          <w:rStyle w:val="CharStyle16"/>
        </w:rPr>
        <w:t>иные документы и информация, полученные в Государственной информационной системе «Независимый регистратор».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Исследовав материалы дела, заслушав представителей сторон и оценив в совокупности представленные документы, Комиссия Тюменского УФАС России приходит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Из материалов дела усматривается, что Управление государственных закупок Тюменской области являясь уполномоченным органом, выступило организатором проведения электронных аукционов с реестровыми номерами извещений </w:t>
      </w:r>
      <w:r>
        <w:rPr>
          <w:rStyle w:val="CharStyle16"/>
          <w:lang w:val="en-US" w:eastAsia="en-US"/>
        </w:rPr>
        <w:t xml:space="preserve">0167200003425006169, 0167200003425006203 </w:t>
      </w:r>
      <w:r>
        <w:rPr>
          <w:rStyle w:val="CharStyle16"/>
        </w:rPr>
        <w:t xml:space="preserve">в интересах заказчиков ГБУЗ ТО «Областная больница </w:t>
      </w:r>
      <w:r>
        <w:rPr>
          <w:rStyle w:val="CharStyle16"/>
          <w:lang w:val="en-US" w:eastAsia="en-US"/>
        </w:rPr>
        <w:t xml:space="preserve">№ 4» </w:t>
      </w:r>
      <w:r>
        <w:rPr>
          <w:rStyle w:val="CharStyle16"/>
        </w:rPr>
        <w:t xml:space="preserve">(г. Ишим), ГБУЗ ТО «Областная больница </w:t>
      </w:r>
      <w:r>
        <w:rPr>
          <w:rStyle w:val="CharStyle16"/>
          <w:lang w:val="en-US" w:eastAsia="en-US"/>
        </w:rPr>
        <w:t xml:space="preserve">№ 11» </w:t>
      </w:r>
      <w:r>
        <w:rPr>
          <w:rStyle w:val="CharStyle16"/>
        </w:rPr>
        <w:t>(р.п. Голышманово).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Закона о контрактной системе предусмотрено, что закупка товара, работы, услуги для обеспечения государственных или муниципальных нужд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закупка)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совокупность действий,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случае,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сторонами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>Закона о контрактной системе предусмотрено, что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24 </w:t>
      </w:r>
      <w:r>
        <w:rPr>
          <w:rStyle w:val="CharStyle16"/>
        </w:rPr>
        <w:t xml:space="preserve">Закона о контрактной системе предусмотрено, что заказчики при осуществлении закупок применяют конкурентные способы определения поставщиков (подрядчиков, исполнителей)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конкурентные способы) или осуществляют закупки у единственного поставщика (подрядчика, исполнителя).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>Закона о контрактной системе предусмотрено,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случае, если такие запрет, ограничение, преимущество установлены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 предусмотрено, что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 предусмотрено, что Правительство Российской Федерации вправе с учетом положений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>настоящей статьи принимать меры, устанавливающие: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Заказчиками осуществляется закупка товара: КТРУ </w:t>
      </w:r>
      <w:r>
        <w:rPr>
          <w:rStyle w:val="CharStyle16"/>
          <w:lang w:val="en-US" w:eastAsia="en-US"/>
        </w:rPr>
        <w:t xml:space="preserve">32.50.13.110-00005064 </w:t>
      </w:r>
      <w:r>
        <w:rPr>
          <w:rStyle w:val="CharStyle16"/>
        </w:rPr>
        <w:t>«Катетер аспирационный трахеальный».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Согласно извещениям об осуществлении закупок, заказчиком установлена защитная мера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преимущество при закупке товаров происходящих из иностранных государств, выполняемых работ, оказываемых услуг иностранными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лицами в соответствии с требованиями Постановления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Поскольку код ОКПД2 </w:t>
      </w:r>
      <w:r>
        <w:rPr>
          <w:rStyle w:val="CharStyle16"/>
          <w:lang w:val="en-US" w:eastAsia="en-US"/>
        </w:rPr>
        <w:t xml:space="preserve">32.50.13.110 </w:t>
      </w:r>
      <w:r>
        <w:rPr>
          <w:rStyle w:val="CharStyle16"/>
        </w:rPr>
        <w:t xml:space="preserve">включен в приложение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Постановлению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 xml:space="preserve">(позиция </w:t>
      </w:r>
      <w:r>
        <w:rPr>
          <w:rStyle w:val="CharStyle16"/>
          <w:lang w:val="en-US" w:eastAsia="en-US"/>
        </w:rPr>
        <w:t xml:space="preserve">385), </w:t>
      </w:r>
      <w:r>
        <w:rPr>
          <w:rStyle w:val="CharStyle16"/>
        </w:rPr>
        <w:t xml:space="preserve">вместе с тем, в рассматриваемых закупках «защитная» мера национального режима в виде ограничения не применялась заказчиком, поскольку при установлении соответствующих «защитных» мер в виде запретов, ограничений необходимо руководствоваться в совокупности как кодом ОКПД2, так и наименованием вида товара, указанного в Постановлении Правительства РФ от </w:t>
      </w:r>
      <w:r>
        <w:rPr>
          <w:rStyle w:val="CharStyle16"/>
          <w:lang w:val="en-US" w:eastAsia="en-US"/>
        </w:rPr>
        <w:t xml:space="preserve">23.12.2024 № 1875. </w:t>
      </w:r>
      <w:r>
        <w:rPr>
          <w:rStyle w:val="CharStyle16"/>
        </w:rPr>
        <w:t xml:space="preserve">Данная позиция подтверждается письмом Министерства финансов РФ от </w:t>
      </w:r>
      <w:r>
        <w:rPr>
          <w:rStyle w:val="CharStyle16"/>
          <w:lang w:val="en-US" w:eastAsia="en-US"/>
        </w:rPr>
        <w:t>31.01.2025 № 24-01-06/8697.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Заказчиками в рамках совместных закупок закупается катетер аспирационный трахеальный, имеющий свое функциональное назначение и область применения, которые надлежит относить к аналогичным инструментам, а не к группе товаров, указанных в приложении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Постановления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 xml:space="preserve">в позиции </w:t>
      </w:r>
      <w:r>
        <w:rPr>
          <w:rStyle w:val="CharStyle16"/>
          <w:lang w:val="en-US" w:eastAsia="en-US"/>
        </w:rPr>
        <w:t xml:space="preserve">385 </w:t>
      </w:r>
      <w:r>
        <w:rPr>
          <w:rStyle w:val="CharStyle16"/>
        </w:rPr>
        <w:t xml:space="preserve">«Иглы хирургические; инструменты колющие; шприцы»; по своему наименованию и назначению закупаемый товар не соответствует позиции </w:t>
      </w:r>
      <w:r>
        <w:rPr>
          <w:rStyle w:val="CharStyle16"/>
          <w:lang w:val="en-US" w:eastAsia="en-US"/>
        </w:rPr>
        <w:t xml:space="preserve">385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Постановлению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>«Иглы хирургические; инструменты колющие; шприцы» (не относится к колющим медицинским изделиям, это гибкая трубка).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>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 xml:space="preserve">Закона о контрактной системе предусмотрено, что для участия в конкурентном способе заявка на участие в закупке, если иное не предусмотрено настоящим Федеральным законом, должна содержать информацию и документы, определенные в соответствии с 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Подпунктом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49 </w:t>
      </w:r>
      <w:r>
        <w:rPr>
          <w:rStyle w:val="CharStyle16"/>
        </w:rPr>
        <w:t>Закона о контрактной системе предусмотрено, что не позднее двух рабочих дней со дня, следующего за датой окончания срока подачи заявок на участие в закупке, но не позднее даты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6"/>
          <w:lang w:val="en-US" w:eastAsia="en-US"/>
        </w:rPr>
        <w:t xml:space="preserve">1 - 8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 xml:space="preserve">Закона о контрактной системе предусмотрено, что при рассмотрении вторых частей заявок на участие в закупке соответствующая заявка подлежит отклонению в случае предусмотренном подпунктом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(за исключением случая, предусмотренного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настоящей части), подпунктом «а»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4, </w:t>
      </w:r>
      <w:r>
        <w:rPr>
          <w:rStyle w:val="CharStyle16"/>
        </w:rPr>
        <w:t xml:space="preserve">подпунктом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(за исключением случая, предусмотренного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настоящей части), 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Подпунктом «а» пункта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 предусмотрено, что при присвоении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</w:t>
      </w:r>
      <w:r>
        <w:rPr>
          <w:rStyle w:val="CharStyle16"/>
          <w:lang w:val="en-US" w:eastAsia="en-US"/>
        </w:rPr>
        <w:t xml:space="preserve">15 % </w:t>
      </w:r>
      <w:r>
        <w:rPr>
          <w:rStyle w:val="CharStyle16"/>
        </w:rPr>
        <w:t>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платы, подлежащей внесению за заключение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Согласно абзаца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подпункта «а» пункта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 xml:space="preserve">Постановления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 xml:space="preserve">установлено, что, при осуществлении закупки товаров, указанных в позициях </w:t>
      </w:r>
      <w:r>
        <w:rPr>
          <w:rStyle w:val="CharStyle16"/>
          <w:lang w:val="en-US" w:eastAsia="en-US"/>
        </w:rPr>
        <w:t xml:space="preserve">1 - 433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Постановлению Правительства РФ от </w:t>
      </w:r>
      <w:r>
        <w:rPr>
          <w:rStyle w:val="CharStyle16"/>
          <w:lang w:val="en-US" w:eastAsia="en-US"/>
        </w:rPr>
        <w:t xml:space="preserve">23.12.2024 № 1875, </w:t>
      </w:r>
      <w:r>
        <w:rPr>
          <w:rStyle w:val="CharStyle16"/>
        </w:rPr>
        <w:t xml:space="preserve">предусмотрено 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классификатору продукции по видам экономической деятельности ОК </w:t>
      </w:r>
      <w:r>
        <w:rPr>
          <w:rStyle w:val="CharStyle16"/>
          <w:lang w:val="en-US" w:eastAsia="en-US"/>
        </w:rPr>
        <w:t xml:space="preserve">034-2014 </w:t>
      </w:r>
      <w:r>
        <w:rPr>
          <w:rStyle w:val="CharStyle16"/>
        </w:rPr>
        <w:t xml:space="preserve">(КПЕС </w:t>
      </w:r>
      <w:r>
        <w:rPr>
          <w:rStyle w:val="CharStyle16"/>
          <w:lang w:val="en-US" w:eastAsia="en-US"/>
        </w:rPr>
        <w:t xml:space="preserve">2008), </w:t>
      </w:r>
      <w:r>
        <w:rPr>
          <w:rStyle w:val="CharStyle16"/>
        </w:rPr>
        <w:t>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союза, и характеристики такого товара).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Согласно подпункту «з» пункта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Постановления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 xml:space="preserve">информацией и документами, подтверждающими страну происхождения товара для целей Постановления Правительства РФ от </w:t>
      </w:r>
      <w:r>
        <w:rPr>
          <w:rStyle w:val="CharStyle16"/>
          <w:lang w:val="en-US" w:eastAsia="en-US"/>
        </w:rPr>
        <w:t xml:space="preserve">23.12.2024 № 1875, </w:t>
      </w:r>
      <w:r>
        <w:rPr>
          <w:rStyle w:val="CharStyle16"/>
        </w:rPr>
        <w:t xml:space="preserve">является указание в заявке на участие в закупке наименования страны происхождения товара (в случае осуществления закупки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такое указание осуществляется в соответствии с подпунктом «б»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Закона о контрактной системе):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64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для подтверждения происхождения товаров из Российской Федерации, не указанных в позициях </w:t>
      </w:r>
      <w:r>
        <w:rPr>
          <w:rStyle w:val="CharStyle16"/>
          <w:lang w:val="en-US" w:eastAsia="en-US"/>
        </w:rPr>
        <w:t xml:space="preserve">1 - 146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1 </w:t>
      </w:r>
      <w:r>
        <w:rPr>
          <w:rStyle w:val="CharStyle16"/>
        </w:rPr>
        <w:t xml:space="preserve">к Постановлению Правительства РФ от </w:t>
      </w:r>
      <w:r>
        <w:rPr>
          <w:rStyle w:val="CharStyle16"/>
          <w:lang w:val="en-US" w:eastAsia="en-US"/>
        </w:rPr>
        <w:t xml:space="preserve">23.12.2024 № 1875, </w:t>
      </w:r>
      <w:r>
        <w:rPr>
          <w:rStyle w:val="CharStyle16"/>
        </w:rPr>
        <w:t xml:space="preserve">позициях </w:t>
      </w:r>
      <w:r>
        <w:rPr>
          <w:rStyle w:val="CharStyle16"/>
          <w:lang w:val="en-US" w:eastAsia="en-US"/>
        </w:rPr>
        <w:t xml:space="preserve">1 - 433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Постановлению Правительства РФ от </w:t>
      </w:r>
      <w:r>
        <w:rPr>
          <w:rStyle w:val="CharStyle16"/>
          <w:lang w:val="en-US" w:eastAsia="en-US"/>
        </w:rPr>
        <w:t>23.12.2024 № 1875;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69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для подтверждения происхождения товаров из Российской Федерации, указанных в позициях </w:t>
      </w:r>
      <w:r>
        <w:rPr>
          <w:rStyle w:val="CharStyle16"/>
          <w:lang w:val="en-US" w:eastAsia="en-US"/>
        </w:rPr>
        <w:t xml:space="preserve">1 - 433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Постановлению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 xml:space="preserve">(если отсутствие в реестре российской промышленной продукции такого товара с характеристиками, соответствующими потребности заказчика, задекларировано заказчиком в соответствии с абзацем третьим подпункта «а» пункта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 xml:space="preserve">Постановления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>или при осуществлении в соответствии с Федеральным законом «О закупках товаров, работ, услуг отдельными видами юридических лиц» закупки задекларировано в документации о закупке), за исключением случая, если в заявке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 участник закупки указывает в заявке на участие в закупке наименование страны происхождения товара в соответствии с общероссийским классификатором, используемым для идентификации стран мира.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Подпунктом «а» пункта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Постановления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 xml:space="preserve">предусмотрено, что положения настоящего постановления, касающиеся товара российского происхождения, работы, услуги, соответственно выполняемой, оказываемой российским гражданином, российским юридическим лицом, применяются также в отношении товара, происходящего из государства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члена Евразийского экономического союза, работы, услуги, соответственно выполняемой, оказываемой иностранным лицом, зарегистрированным на территории государства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члена Евразийского экономического союза.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Согласно протоколу подведения итогов от </w:t>
      </w:r>
      <w:r>
        <w:rPr>
          <w:rStyle w:val="CharStyle16"/>
          <w:lang w:val="en-US" w:eastAsia="en-US"/>
        </w:rPr>
        <w:t xml:space="preserve">02.09.2025 </w:t>
      </w:r>
      <w:r>
        <w:rPr>
          <w:rStyle w:val="CharStyle16"/>
        </w:rPr>
        <w:t xml:space="preserve">по закупке с реестровым номером извещения </w:t>
      </w:r>
      <w:r>
        <w:rPr>
          <w:rStyle w:val="CharStyle16"/>
          <w:lang w:val="en-US" w:eastAsia="en-US"/>
        </w:rPr>
        <w:t xml:space="preserve">0167200003425006169 </w:t>
      </w:r>
      <w:r>
        <w:rPr>
          <w:rStyle w:val="CharStyle16"/>
        </w:rPr>
        <w:t xml:space="preserve">победителем закупки признан участник закупки с идентификационным номером заявки </w:t>
      </w:r>
      <w:r>
        <w:rPr>
          <w:rStyle w:val="CharStyle16"/>
          <w:lang w:val="en-US" w:eastAsia="en-US"/>
        </w:rPr>
        <w:t xml:space="preserve">– 23, </w:t>
      </w:r>
      <w:r>
        <w:rPr>
          <w:rStyle w:val="CharStyle16"/>
        </w:rPr>
        <w:t xml:space="preserve">заявка на участие в закупке которого соответствует требованиям, установленным в извещении об осуществлении закупки, с предложением о цене контракта </w:t>
      </w:r>
      <w:r>
        <w:rPr>
          <w:rStyle w:val="CharStyle16"/>
          <w:lang w:val="en-US" w:eastAsia="en-US"/>
        </w:rPr>
        <w:t xml:space="preserve">127 640,00 </w:t>
      </w:r>
      <w:r>
        <w:rPr>
          <w:rStyle w:val="CharStyle16"/>
        </w:rPr>
        <w:t xml:space="preserve">руб. При присвоении порядковых номеров заявкам на участие в закупке применено преимущество в порядке, определенном подпунктом «а» пункта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Участники закупки с </w:t>
      </w:r>
      <w:r>
        <w:rPr>
          <w:rStyle w:val="CharStyle16"/>
          <w:lang w:val="en-US" w:eastAsia="en-US"/>
        </w:rPr>
        <w:t xml:space="preserve">№№ 23, 26, 112, 162 </w:t>
      </w:r>
      <w:r>
        <w:rPr>
          <w:rStyle w:val="CharStyle16"/>
        </w:rPr>
        <w:t>предложили к поставке товар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производства Китай, участник закупки с </w:t>
      </w:r>
      <w:r>
        <w:rPr>
          <w:rStyle w:val="CharStyle16"/>
          <w:lang w:val="en-US" w:eastAsia="en-US"/>
        </w:rPr>
        <w:t xml:space="preserve">№ 100 — </w:t>
      </w:r>
      <w:r>
        <w:rPr>
          <w:rStyle w:val="CharStyle16"/>
        </w:rPr>
        <w:t xml:space="preserve">США, участник закупки </w:t>
      </w:r>
      <w:r>
        <w:rPr>
          <w:rStyle w:val="CharStyle16"/>
          <w:lang w:val="en-US" w:eastAsia="en-US"/>
        </w:rPr>
        <w:t xml:space="preserve">№ 208 </w:t>
      </w:r>
      <w:r>
        <w:rPr>
          <w:rStyle w:val="CharStyle16"/>
        </w:rPr>
        <w:t xml:space="preserve">(заявитель жалобы ООО «Портер»)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Беларусь. При этом, ценовое предложение ООО «Портер» составило </w:t>
      </w:r>
      <w:r>
        <w:rPr>
          <w:rStyle w:val="CharStyle16"/>
          <w:lang w:val="en-US" w:eastAsia="en-US"/>
        </w:rPr>
        <w:t xml:space="preserve">445 668,46 </w:t>
      </w:r>
      <w:r>
        <w:rPr>
          <w:rStyle w:val="CharStyle16"/>
        </w:rPr>
        <w:t xml:space="preserve">руб. (это </w:t>
      </w:r>
      <w:r>
        <w:rPr>
          <w:rStyle w:val="CharStyle16"/>
          <w:lang w:val="en-US" w:eastAsia="en-US"/>
        </w:rPr>
        <w:t xml:space="preserve">0,50% </w:t>
      </w:r>
      <w:r>
        <w:rPr>
          <w:rStyle w:val="CharStyle16"/>
        </w:rPr>
        <w:t xml:space="preserve">от Н(М)ЦК), что при ранжировании заявок по правилам подпункта «а» пункта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 дало снижение ценового предложения на </w:t>
      </w:r>
      <w:r>
        <w:rPr>
          <w:rStyle w:val="CharStyle16"/>
          <w:lang w:val="en-US" w:eastAsia="en-US"/>
        </w:rPr>
        <w:t xml:space="preserve">15% (66 850,3 </w:t>
      </w:r>
      <w:r>
        <w:rPr>
          <w:rStyle w:val="CharStyle16"/>
        </w:rPr>
        <w:t xml:space="preserve">руб.) и составило </w:t>
      </w:r>
      <w:r>
        <w:rPr>
          <w:rStyle w:val="CharStyle16"/>
          <w:lang w:val="en-US" w:eastAsia="en-US"/>
        </w:rPr>
        <w:t xml:space="preserve">378 818,16 </w:t>
      </w:r>
      <w:r>
        <w:rPr>
          <w:rStyle w:val="CharStyle16"/>
        </w:rPr>
        <w:t>рублей. Указанное ценовое предложения также осталось самым высоким по отношению к иным участникам закупки, в связи с чем ООО «Портер» по результатам ранжирования также осталось на последнем (шестом) месте.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Согласно протоколу подведения итогов от </w:t>
      </w:r>
      <w:r>
        <w:rPr>
          <w:rStyle w:val="CharStyle16"/>
          <w:lang w:val="en-US" w:eastAsia="en-US"/>
        </w:rPr>
        <w:t xml:space="preserve">02.09.2025 </w:t>
      </w:r>
      <w:r>
        <w:rPr>
          <w:rStyle w:val="CharStyle16"/>
        </w:rPr>
        <w:t xml:space="preserve">по закупке с реестровым номером извещения </w:t>
      </w:r>
      <w:r>
        <w:rPr>
          <w:rStyle w:val="CharStyle16"/>
          <w:lang w:val="en-US" w:eastAsia="en-US"/>
        </w:rPr>
        <w:t xml:space="preserve">0167200003425006203 </w:t>
      </w:r>
      <w:r>
        <w:rPr>
          <w:rStyle w:val="CharStyle16"/>
        </w:rPr>
        <w:t xml:space="preserve">на участие в закупке было подано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>заявок, все заявки признаны соответствующими условиям извещения об осуществлении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По результатам подведения итогов определения поставщика (подрядчика, исполнителя) победителем электронного аукциона признан участник закупки с идентификационным номером заявки </w:t>
      </w:r>
      <w:r>
        <w:rPr>
          <w:rStyle w:val="CharStyle16"/>
          <w:lang w:val="en-US" w:eastAsia="en-US"/>
        </w:rPr>
        <w:t xml:space="preserve">– 104, </w:t>
      </w:r>
      <w:r>
        <w:rPr>
          <w:rStyle w:val="CharStyle16"/>
        </w:rPr>
        <w:t xml:space="preserve">заявка на участие в закупке которого соответствует требованиям, установленным в извещении об осуществлении закупки, с предложением о цене контракта </w:t>
      </w:r>
      <w:r>
        <w:rPr>
          <w:rStyle w:val="CharStyle16"/>
          <w:lang w:val="en-US" w:eastAsia="en-US"/>
        </w:rPr>
        <w:t xml:space="preserve">124 628,00 </w:t>
      </w:r>
      <w:r>
        <w:rPr>
          <w:rStyle w:val="CharStyle16"/>
        </w:rPr>
        <w:t xml:space="preserve">руб. При присвоении порядковых номеров заявкам на участие в закупке применено преимущество в порядке, определенном подпунктом «а» пункта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Участники закупки с </w:t>
      </w:r>
      <w:r>
        <w:rPr>
          <w:rStyle w:val="CharStyle16"/>
          <w:lang w:val="en-US" w:eastAsia="en-US"/>
        </w:rPr>
        <w:t xml:space="preserve">№№ 104, 241, 17, 55, 214, 151 </w:t>
      </w:r>
      <w:r>
        <w:rPr>
          <w:rStyle w:val="CharStyle16"/>
        </w:rPr>
        <w:t xml:space="preserve">предложили к поставке товар производства Китай, участник закупки </w:t>
      </w:r>
      <w:r>
        <w:rPr>
          <w:rStyle w:val="CharStyle16"/>
          <w:lang w:val="en-US" w:eastAsia="en-US"/>
        </w:rPr>
        <w:t xml:space="preserve">№ 248 </w:t>
      </w:r>
      <w:r>
        <w:rPr>
          <w:rStyle w:val="CharStyle16"/>
        </w:rPr>
        <w:t xml:space="preserve">(заявитель жалобы ООО «Портер»)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Беларусь. При этом, ценовое предложение ООО «Портер» составило </w:t>
      </w:r>
      <w:r>
        <w:rPr>
          <w:rStyle w:val="CharStyle16"/>
          <w:lang w:val="en-US" w:eastAsia="en-US"/>
        </w:rPr>
        <w:t xml:space="preserve">459 286,03 </w:t>
      </w:r>
      <w:r>
        <w:rPr>
          <w:rStyle w:val="CharStyle16"/>
        </w:rPr>
        <w:t xml:space="preserve">руб. (это </w:t>
      </w:r>
      <w:r>
        <w:rPr>
          <w:rStyle w:val="CharStyle16"/>
          <w:lang w:val="en-US" w:eastAsia="en-US"/>
        </w:rPr>
        <w:t xml:space="preserve">0,50% </w:t>
      </w:r>
      <w:r>
        <w:rPr>
          <w:rStyle w:val="CharStyle16"/>
        </w:rPr>
        <w:t xml:space="preserve">от Н(М)ЦК), что при ранжировании заявок по правилам подпункта «а» пункта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 дало снижение ценового предложения на </w:t>
      </w:r>
      <w:r>
        <w:rPr>
          <w:rStyle w:val="CharStyle16"/>
          <w:lang w:val="en-US" w:eastAsia="en-US"/>
        </w:rPr>
        <w:t xml:space="preserve">15% (68 892,9 </w:t>
      </w:r>
      <w:r>
        <w:rPr>
          <w:rStyle w:val="CharStyle16"/>
        </w:rPr>
        <w:t xml:space="preserve">руб.) и составило </w:t>
      </w:r>
      <w:r>
        <w:rPr>
          <w:rStyle w:val="CharStyle16"/>
          <w:lang w:val="en-US" w:eastAsia="en-US"/>
        </w:rPr>
        <w:t xml:space="preserve">392 701,1 </w:t>
      </w:r>
      <w:r>
        <w:rPr>
          <w:rStyle w:val="CharStyle16"/>
        </w:rPr>
        <w:t>руб. Указанное ценовое предложения также осталось самым высоким по отношению к иным участникам закупки, в связи с чем ООО «Портер» по результатам ранжирования также осталось на последнем (седьмом) месте.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Комиссия Тюменского УФАС России отмечает, что действия комиссии по осуществлению закупок уполномоченного органа соответствуют требованиям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Также необходимо отметить, что доводы жалобы заявителя соотнесены с другой закупкой (реестровый номер извещения </w:t>
      </w:r>
      <w:r>
        <w:rPr>
          <w:rStyle w:val="CharStyle16"/>
          <w:lang w:val="en-US" w:eastAsia="en-US"/>
        </w:rPr>
        <w:t xml:space="preserve">32514514339) </w:t>
      </w:r>
      <w:r>
        <w:rPr>
          <w:rStyle w:val="CharStyle16"/>
        </w:rPr>
        <w:t xml:space="preserve">и иным наименованием объекта закупки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поставка медицинских изделий (контур дыхательный, тепло/влагообменник/бактериальный фильтр), осуществляемой в рамках 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223-ФЗ, заказчиком по которой выступило ГАУЗ «Областной онкологический диспансер </w:t>
      </w:r>
      <w:r>
        <w:rPr>
          <w:rStyle w:val="CharStyle16"/>
          <w:lang w:val="en-US" w:eastAsia="en-US"/>
        </w:rPr>
        <w:t xml:space="preserve">№ 2» </w:t>
      </w:r>
      <w:r>
        <w:rPr>
          <w:rStyle w:val="CharStyle16"/>
        </w:rPr>
        <w:t>(г. Магнитогорск).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Комиссия Тюменского УФАС России в порядке, предусмотренном подпунктом «а»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 осуществила внеплановую проверку всей без исключения информации и документов, размещенных в ЕИС в сфере закупок по рассматриваемой закупке, а также изучила все электронные отчеты, полученные из ГИС «Независимый регистратор» и все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both"/>
      </w:pPr>
      <w:r>
        <w:rPr>
          <w:rStyle w:val="CharStyle16"/>
        </w:rPr>
        <w:t>без исключения представленные в материалы дела документы, не ограничиваясь доводами, изложенными в жалобах заявителя, по результатам которой, какие-либо иные нарушения законодательства о контрактной системе не установлены.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540"/>
        <w:jc w:val="both"/>
      </w:pPr>
      <w:r>
        <w:rPr>
          <w:rStyle w:val="CharStyle16"/>
        </w:rPr>
        <w:t>Комиссия Тюменского УФАС России полагает необходимым признать жалобы заявителя необоснованными.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40" w:right="0" w:firstLine="540"/>
        <w:jc w:val="both"/>
      </w:pPr>
      <w:r>
        <w:rPr>
          <w:rStyle w:val="CharStyle16"/>
        </w:rPr>
        <w:t xml:space="preserve">На основании изложенного, руководствуясь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99, </w:t>
      </w: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6"/>
          <w:b/>
          <w:bCs/>
        </w:rPr>
        <w:t>РЕШИЛА: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40" w:right="0" w:firstLine="540"/>
        <w:jc w:val="both"/>
      </w:pPr>
      <w:r>
        <w:rPr>
          <w:rStyle w:val="CharStyle16"/>
        </w:rPr>
        <w:t xml:space="preserve">Признать жалобы ООО «Портер» </w:t>
      </w:r>
      <w:r>
        <w:rPr>
          <w:rStyle w:val="CharStyle16"/>
          <w:b/>
          <w:bCs/>
        </w:rPr>
        <w:t>необоснованными</w:t>
      </w:r>
      <w:r>
        <w:rPr>
          <w:rStyle w:val="CharStyle16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5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461" w:bottom="1217" w:left="1173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 настоящее решение может быть оспорено в арбитражном суде в течение трех месяцев со дня его принятия.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117" w:h="394" w:wrap="none" w:vAnchor="text" w:hAnchor="page" w:x="1207" w:y="1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Члены комиссии:</w:t>
      </w:r>
    </w:p>
    <w:p>
      <w:pPr>
        <w:pStyle w:val="Style20"/>
        <w:keepNext w:val="0"/>
        <w:keepLines w:val="0"/>
        <w:framePr w:w="2952" w:h="394" w:wrap="none" w:vAnchor="text" w:hAnchor="page" w:x="121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Председатель комиссии:</w:t>
      </w:r>
    </w:p>
    <w:p>
      <w:pPr>
        <w:widowControl w:val="0"/>
        <w:spacing w:line="360" w:lineRule="exact"/>
      </w:pPr>
      <w:r>
        <w:drawing>
          <wp:anchor distT="54610" distB="0" distL="1959610" distR="0" simplePos="0" relativeHeight="62914695" behindDoc="1" locked="0" layoutInCell="1" allowOverlap="1">
            <wp:simplePos x="0" y="0"/>
            <wp:positionH relativeFrom="page">
              <wp:posOffset>2728595</wp:posOffset>
            </wp:positionH>
            <wp:positionV relativeFrom="paragraph">
              <wp:posOffset>67310</wp:posOffset>
            </wp:positionV>
            <wp:extent cx="3498850" cy="306006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98850" cy="30600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971" w:left="113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708025</wp:posOffset>
              </wp:positionH>
              <wp:positionV relativeFrom="page">
                <wp:posOffset>10013315</wp:posOffset>
              </wp:positionV>
              <wp:extent cx="58547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54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2025-650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5.75pt;margin-top:788.45000000000005pt;width:46.100000000000001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2025-650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58547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54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2025-650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95000000000005pt;width:46.100000000000001pt;height:8.4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2025-650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9"/>
      <w:sz w:val="17"/>
      <w:szCs w:val="17"/>
      <w:u w:val="none"/>
    </w:rPr>
  </w:style>
  <w:style w:type="character" w:customStyle="1" w:styleId="CharStyle8">
    <w:name w:val="Body text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9"/>
      <w:sz w:val="19"/>
      <w:szCs w:val="19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 (4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1">
    <w:name w:val="Picture caption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60" w:line="283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9"/>
      <w:sz w:val="17"/>
      <w:szCs w:val="17"/>
      <w:u w:val="none"/>
    </w:rPr>
  </w:style>
  <w:style w:type="paragraph" w:customStyle="1" w:styleId="Style7">
    <w:name w:val="Body text (2)"/>
    <w:basedOn w:val="Normal"/>
    <w:link w:val="CharStyle8"/>
    <w:pPr>
      <w:widowControl w:val="0"/>
      <w:shd w:val="clear" w:color="auto" w:fill="auto"/>
      <w:spacing w:after="80"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9"/>
      <w:sz w:val="19"/>
      <w:szCs w:val="19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4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Body text (4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