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/>
        <w:ind w:left="0" w:right="0" w:firstLine="0"/>
        <w:jc w:val="both"/>
      </w:pPr>
      <w:r>
        <w:rPr>
          <w:rStyle w:val="CharStyle9"/>
        </w:rPr>
        <w:tab/>
        <w:t xml:space="preserve"> №</w:t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1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АО «Автоцентр КрасГАЗсервис» ул. Авиаторов, 31, г. Красноярск, Красноярский край, 660077 </w:t>
      </w:r>
      <w:r>
        <w:fldChar w:fldCharType="begin"/>
      </w:r>
      <w:r>
        <w:rPr/>
        <w:instrText> HYPERLINK "mailto:akgs@akgs.biz" </w:instrText>
      </w:r>
      <w:r>
        <w:fldChar w:fldCharType="separate"/>
      </w:r>
      <w:r>
        <w:rPr>
          <w:rStyle w:val="CharStyle13"/>
          <w:lang w:val="en-US" w:eastAsia="en-US"/>
        </w:rPr>
        <w:t>akgs@akgs.biz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Казенное муниципальное учреждение служба муниципального заказа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пр-т Ленинского комсомола, д. 12, пом. 138, г. Кодинск, Кежемский р-н, Красноярский край, 663491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"mailto:sl_zakaza@mail.ru" </w:instrText>
      </w:r>
      <w:r>
        <w:fldChar w:fldCharType="separate"/>
      </w:r>
      <w:r>
        <w:rPr>
          <w:rStyle w:val="CharStyle13"/>
          <w:lang w:val="en-US" w:eastAsia="en-US"/>
        </w:rPr>
        <w:t>sl_zakaza@mail.ru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ООО «ЭТП Газпромбанк»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949" w:bottom="1212" w:left="1135" w:header="0" w:footer="3" w:gutter="0"/>
          <w:pgNumType w:start="1"/>
          <w:cols w:num="2" w:space="720" w:equalWidth="0">
            <w:col w:w="4099" w:space="1166"/>
            <w:col w:w="4550"/>
          </w:cols>
          <w:noEndnote/>
          <w:titlePg/>
          <w:rtlGutter w:val="0"/>
          <w:docGrid w:linePitch="360"/>
        </w:sectPr>
      </w:pPr>
      <w:r>
        <w:rPr>
          <w:rStyle w:val="CharStyle13"/>
        </w:rPr>
        <w:t xml:space="preserve">Якиманская наб., д. 2, г. Москва, 119180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3"/>
          <w:lang w:val="en-US" w:eastAsia="en-US"/>
        </w:rPr>
        <w:t>info@etpgpb.ru</w:t>
      </w:r>
      <w:r>
        <w:fldChar w:fldCharType="end"/>
      </w:r>
    </w:p>
    <w:p>
      <w:pPr>
        <w:widowControl w:val="0"/>
        <w:spacing w:line="161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Предписание № 024/06/106-2583/2025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3"/>
        </w:rPr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779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12 сентября 2025 года</w:t>
        <w:tab/>
        <w:t>г. Красноярск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6178" w:val="left"/>
          <w:tab w:pos="906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Комиссия Красноярского УФАС России по контролю в сфере закупок в составе: Председатель Комиссии – М.А. Дударева, заместитель руководителя; члены Комиссии: М.А. Грицай, начальник отдела; Д.Н. Пелевина, ведущий специалист-эксперт (далее – Комиссия), рассмотрев жалобу АО «Автоцентра КрасГАЗсервис» (далее – Податель жалобы) на действия заказчика – Казенное муниципальное учреждение служба муниципального заказа (далее – Заказчик), при проведении электронного аукциона «поставка легкового автомобиля» (далее – Электронный аукцион), извещение №</w:t>
        <w:tab/>
        <w:t>0319300050925000018</w:t>
        <w:tab/>
        <w:t>, ИКЗ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253242000489024200100100170012910244 на электронной торговой площадке «ЭТП Газпромбанк» (далее –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Аукционной комиссии, Заказчику, Оператору электронной площадки необходимо отменить все протоколы, составленные в ходе проведения электронного аукциона.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вернуть участникам закупки ранее поданные заявки на участие в электронном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в случае отсутствия технической возможности по отмене протокола подведения итогов определения поставщика (подрядчика, исполнителя) при наличии контрактной записи, необходимо выполнить все необходимые действия для обеспечения возможности исполнения пункта 1 настоящего предписания;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уведомить участников закупки, подавших заявки на участие в электронном аукционе, об отмене протоколов, о прекращении действия заявок, поданных на участие в электронном аукционе, и о возможности подать новые заявки на участие в электронном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1" w:val="left"/>
        </w:tabs>
        <w:bidi w:val="0"/>
        <w:spacing w:before="0" w:after="440" w:line="240" w:lineRule="auto"/>
        <w:ind w:left="0" w:right="0" w:firstLine="700"/>
        <w:jc w:val="both"/>
      </w:pPr>
      <w:r>
        <w:rPr>
          <w:rStyle w:val="CharStyle13"/>
        </w:rPr>
        <w:t>Заказчику: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5"/>
        </w:rPr>
        <w:t>IIIIIIIIIIIIIIIIIIIIIIII</w:t>
      </w:r>
      <w:bookmarkEnd w:id="0"/>
      <w:r>
        <w:br w:type="page"/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внести изменения в извещение о проведении электронного аукциона с учетом выводов, изложенных в решении Комиссии Красноярского УФАС России </w:t>
      </w:r>
      <w:r>
        <w:rPr>
          <w:rStyle w:val="CharStyle13"/>
          <w:lang w:val="en-US" w:eastAsia="en-US"/>
        </w:rPr>
        <w:t xml:space="preserve">№ 024/06/106-2583/2025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12.09.2025 </w:t>
      </w:r>
      <w:r>
        <w:rPr>
          <w:rStyle w:val="CharStyle13"/>
        </w:rPr>
        <w:t>г.;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>назначить новую дату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Заказчику,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</w:t>
      </w:r>
      <w:r>
        <w:rPr>
          <w:rStyle w:val="CharStyle13"/>
          <w:lang w:val="en-US" w:eastAsia="en-US"/>
        </w:rPr>
        <w:t xml:space="preserve">№ 024/06/106-2583/2025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12.09.2025 </w:t>
      </w:r>
      <w:r>
        <w:rPr>
          <w:rStyle w:val="CharStyle13"/>
        </w:rPr>
        <w:t>г.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Указанное предписание необходимо исполнить в течение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>дней с момента его размещения в ЕИС.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Об исполнении предписания сообщить в адрес Красноярского УФАС России в течение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(двух) дней с даты его исполнения путем представления сведений с приложением копий подтверждающих документов.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3"/>
        </w:rPr>
        <w:t xml:space="preserve">Информируем о том, что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19.5 </w:t>
      </w:r>
      <w:r>
        <w:rPr>
          <w:rStyle w:val="CharStyle13"/>
        </w:rPr>
        <w:t xml:space="preserve">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пятисот тысяч рублей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00"/>
        <w:jc w:val="both"/>
      </w:pPr>
      <w:r>
        <w:rPr>
          <w:rStyle w:val="CharStyle13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699135</wp:posOffset>
                </wp:positionH>
                <wp:positionV relativeFrom="paragraph">
                  <wp:posOffset>12700</wp:posOffset>
                </wp:positionV>
                <wp:extent cx="1600200" cy="56705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0200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050000000000004pt;margin-top:1.pt;width:126.pt;height:44.6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3"/>
        </w:rPr>
        <w:t>М.А. Дударева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rStyle w:val="CharStyle13"/>
        </w:rPr>
        <w:t>М.А. Грицай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560" w:line="240" w:lineRule="auto"/>
        <w:ind w:left="0" w:right="0" w:firstLine="0"/>
        <w:jc w:val="right"/>
      </w:pPr>
      <w:r>
        <w:rPr>
          <w:rStyle w:val="CharStyle13"/>
        </w:rPr>
        <w:t>Д.Н. Пелевина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rStyle w:val="CharStyle6"/>
          <w:color w:val="000000"/>
        </w:rPr>
        <w:t xml:space="preserve">Исп.Пелевина Д.Н. тел.(319) </w:t>
      </w:r>
      <w:r>
        <w:rPr>
          <w:rStyle w:val="CharStyle6"/>
          <w:color w:val="000000"/>
          <w:lang w:val="en-US" w:eastAsia="en-US"/>
        </w:rPr>
        <w:t>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79" w:right="541" w:bottom="1212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731520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2025-13361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88.20000000000005pt;width:57.6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2025-13361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731520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2025-13361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7.6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2025-13361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7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40"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