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2" w:bottom="65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mc:AlternateContent>
          <mc:Choice Requires="wps">
            <w:drawing>
              <wp:anchor distT="0" distB="0" distL="239395" distR="114300" simplePos="0" relativeHeight="125829378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50800</wp:posOffset>
                </wp:positionV>
                <wp:extent cx="2456815" cy="216408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6815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178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№ 37212/25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01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 xml:space="preserve">ОТ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6.599999999999994pt;margin-top:4.pt;width:193.45000000000002pt;height:170.40000000000001pt;z-index:-125829375;mso-wrap-distance-left:18.8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178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№ 37212/25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01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 xml:space="preserve">ОТ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06550" distB="0" distL="114300" distR="1480185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1657350</wp:posOffset>
                </wp:positionV>
                <wp:extent cx="1216025" cy="5575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16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6.</w:t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09.2025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75pt;margin-top:130.5pt;width:95.75pt;height:43.899999999999999pt;z-index:-125829373;mso-wrap-distance-left:9.pt;mso-wrap-distance-top:126.5pt;mso-wrap-distance-right:116.5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16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6.</w:t>
                      </w: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09.2025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</w:rPr>
        <w:t>ГБУЗ «ДГКБ им. Н.Ф. Филатова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fldChar w:fldCharType="begin"/>
      </w:r>
      <w:r>
        <w:rPr/>
        <w:instrText> HYPERLINK "mailto:ErshovAA2@zdrav.mos.ru" </w:instrText>
      </w:r>
      <w:r>
        <w:fldChar w:fldCharType="separate"/>
      </w:r>
      <w:r>
        <w:rPr>
          <w:rStyle w:val="CharStyle10"/>
          <w:lang w:val="en-US" w:eastAsia="en-US"/>
        </w:rPr>
        <w:t>ErshovAA2@zdrav.mos.ru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0"/>
        </w:rPr>
        <w:t>ИП Малыгина Е.С.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fldChar w:fldCharType="begin"/>
      </w:r>
      <w:r>
        <w:rPr/>
        <w:instrText> HYPERLINK "mailto:somt@bk.ru" </w:instrText>
      </w:r>
      <w:r>
        <w:fldChar w:fldCharType="separate"/>
      </w:r>
      <w:r>
        <w:rPr>
          <w:rStyle w:val="CharStyle10"/>
          <w:lang w:val="en-US" w:eastAsia="en-US"/>
        </w:rPr>
        <w:t>somt@bk.ru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0"/>
        </w:rPr>
        <w:t>ООО «Филипс»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fldChar w:fldCharType="begin"/>
      </w:r>
      <w:r>
        <w:rPr/>
        <w:instrText> HYPERLINK "mailto:svetlana.dzgoeva@philips.com" </w:instrText>
      </w:r>
      <w:r>
        <w:fldChar w:fldCharType="separate"/>
      </w:r>
      <w:r>
        <w:rPr>
          <w:rStyle w:val="CharStyle10"/>
          <w:lang w:val="en-US" w:eastAsia="en-US"/>
        </w:rPr>
        <w:t>svetlana.dzgoeva@philips.com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040" w:right="0" w:firstLine="0"/>
        <w:jc w:val="left"/>
      </w:pPr>
      <w:r>
        <w:rPr>
          <w:rStyle w:val="CharStyle10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393700</wp:posOffset>
                </wp:positionV>
                <wp:extent cx="1231265" cy="45720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11.09.2025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25pt;margin-top:31.pt;width:96.950000000000003pt;height:36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11.09.2025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0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  <w:b/>
          <w:bCs/>
        </w:rPr>
        <w:t>по делу № 077/06/106-11435/2025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  <w:b/>
          <w:bCs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Управления Федеральной антимонопольной службы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г. Москве по контролю в сфере закупок товаров, работ, услуг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0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0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рассмотрение жалобы проводилось дистанционно (посредством видео- конференц 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ГБУЗ «ДГКБ им. Н.Ф. Филатова ДЗМ»: А.А. Ершова (дов. от 05.09.2025 №б/н), О.Ю. Шефер (дов. от 19.06.2025 №19/06-2025),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ООО «Филипс»: С.А. Дзгоевой (дов. от 06.06.2023 №СО/06/06/2023/1/JS), Д.А. Волкова (дов. от 10.09.2025 </w:t>
      </w:r>
      <w:r>
        <w:rPr>
          <w:rStyle w:val="CharStyle10"/>
          <w:lang w:val="en-US" w:eastAsia="en-US"/>
        </w:rPr>
        <w:t>№HS/10/09/2025/2/JS),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отсутствии представителей ИП Малыгина Е.С.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рассмотрев жалобу ИП Малыгина Е.С. (далее — Заявитель) на действия ГБУЗ «ДГКБ им. Н.Ф. Филатова ДЗМ» (далее — Заказчик) при проведении электронного аукциона на право заключения государственного контракта на поставку расходных материалов для оборудования производства </w:t>
      </w:r>
      <w:r>
        <w:rPr>
          <w:rStyle w:val="CharStyle10"/>
          <w:lang w:val="en-US" w:eastAsia="en-US"/>
        </w:rPr>
        <w:t xml:space="preserve">Philips </w:t>
      </w:r>
      <w:r>
        <w:rPr>
          <w:rStyle w:val="CharStyle10"/>
        </w:rPr>
        <w:t>(Лот 3) для нужд ГБУЗ «ДГКБ им. Н.Ф. Филатова ДЗМ» (Закупка №0373200114225000519) (далее — аукцион), в соответствии с Федеральным законом от 05.04.2013 № 44-ФЗ «О</w:t>
      </w:r>
    </w:p>
    <w:p>
      <w:pPr>
        <w:widowControl w:val="0"/>
        <w:spacing w:after="51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10"/>
        </w:rPr>
        <w:t xml:space="preserve">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комиссия Заказчика) при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04.09.2025 </w:t>
      </w:r>
      <w:r>
        <w:rPr>
          <w:rStyle w:val="CharStyle10"/>
        </w:rPr>
        <w:t xml:space="preserve">№ИЭА1 заявка Заявителя (номер заявки </w:t>
      </w:r>
      <w:r>
        <w:rPr>
          <w:rStyle w:val="CharStyle10"/>
          <w:lang w:val="en-US" w:eastAsia="en-US"/>
        </w:rPr>
        <w:t xml:space="preserve">2265913) </w:t>
      </w:r>
      <w:r>
        <w:rPr>
          <w:rStyle w:val="CharStyle10"/>
        </w:rPr>
        <w:t>признана не соответствующей требованиям извещения об осуществления закупки в том числе на следующем основании: «</w:t>
      </w:r>
      <w:r>
        <w:rPr>
          <w:rStyle w:val="CharStyle10"/>
          <w:i/>
          <w:iCs/>
        </w:rPr>
        <w:t xml:space="preserve"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0"/>
          <w:i/>
          <w:iCs/>
          <w:lang w:val="en-US" w:eastAsia="en-US"/>
        </w:rPr>
        <w:t xml:space="preserve">2, 3 </w:t>
      </w:r>
      <w:r>
        <w:rPr>
          <w:rStyle w:val="CharStyle10"/>
          <w:i/>
          <w:iCs/>
        </w:rPr>
        <w:t xml:space="preserve">ч. </w:t>
      </w:r>
      <w:r>
        <w:rPr>
          <w:rStyle w:val="CharStyle10"/>
          <w:i/>
          <w:iCs/>
          <w:lang w:val="en-US" w:eastAsia="en-US"/>
        </w:rPr>
        <w:t xml:space="preserve">6 </w:t>
      </w:r>
      <w:r>
        <w:rPr>
          <w:rStyle w:val="CharStyle10"/>
          <w:i/>
          <w:iCs/>
        </w:rPr>
        <w:t xml:space="preserve">ст. </w:t>
      </w:r>
      <w:r>
        <w:rPr>
          <w:rStyle w:val="CharStyle10"/>
          <w:i/>
          <w:iCs/>
          <w:lang w:val="en-US" w:eastAsia="en-US"/>
        </w:rPr>
        <w:t xml:space="preserve">43 </w:t>
      </w:r>
      <w:r>
        <w:rPr>
          <w:rStyle w:val="CharStyle10"/>
          <w:i/>
          <w:iCs/>
        </w:rPr>
        <w:t xml:space="preserve">Закона 44-ФЗ), несоответствие таких информации и документов требованиям» В заявке участник предложил к поставке Датчик температурный многоразовый для монитора пациента: </w:t>
      </w:r>
      <w:r>
        <w:rPr>
          <w:rStyle w:val="CharStyle10"/>
          <w:i/>
          <w:iCs/>
          <w:lang w:val="en-US" w:eastAsia="en-US"/>
        </w:rPr>
        <w:t xml:space="preserve">THP-AS, </w:t>
      </w:r>
      <w:r>
        <w:rPr>
          <w:rStyle w:val="CharStyle10"/>
          <w:i/>
          <w:iCs/>
        </w:rPr>
        <w:t xml:space="preserve">Товарный знак: </w:t>
      </w:r>
      <w:r>
        <w:rPr>
          <w:rStyle w:val="CharStyle10"/>
          <w:i/>
          <w:iCs/>
          <w:lang w:val="en-US" w:eastAsia="en-US"/>
        </w:rPr>
        <w:t xml:space="preserve">Unimed, </w:t>
      </w:r>
      <w:r>
        <w:rPr>
          <w:rStyle w:val="CharStyle10"/>
          <w:i/>
          <w:iCs/>
        </w:rPr>
        <w:t xml:space="preserve">Регистрационный номер медицинского изделия: ФСЗ </w:t>
      </w:r>
      <w:r>
        <w:rPr>
          <w:rStyle w:val="CharStyle10"/>
          <w:i/>
          <w:iCs/>
          <w:lang w:val="en-US" w:eastAsia="en-US"/>
        </w:rPr>
        <w:t xml:space="preserve">2011/11065 </w:t>
      </w:r>
      <w:r>
        <w:rPr>
          <w:rStyle w:val="CharStyle10"/>
          <w:i/>
          <w:iCs/>
        </w:rPr>
        <w:t xml:space="preserve">Дата регистрации: </w:t>
      </w:r>
      <w:r>
        <w:rPr>
          <w:rStyle w:val="CharStyle10"/>
          <w:i/>
          <w:iCs/>
          <w:lang w:val="en-US" w:eastAsia="en-US"/>
        </w:rPr>
        <w:t xml:space="preserve">2017-04-11, </w:t>
      </w:r>
      <w:r>
        <w:rPr>
          <w:rStyle w:val="CharStyle10"/>
          <w:i/>
          <w:iCs/>
        </w:rPr>
        <w:t xml:space="preserve">Страна происхождения: Китайская Народная Республика с характеристикой: Совместимость </w:t>
      </w:r>
      <w:r>
        <w:rPr>
          <w:rStyle w:val="CharStyle10"/>
          <w:i/>
          <w:iCs/>
          <w:lang w:val="en-US" w:eastAsia="en-US"/>
        </w:rPr>
        <w:t xml:space="preserve">- </w:t>
      </w:r>
      <w:r>
        <w:rPr>
          <w:rStyle w:val="CharStyle10"/>
          <w:i/>
          <w:iCs/>
        </w:rPr>
        <w:t xml:space="preserve">Мониторы </w:t>
      </w:r>
      <w:r>
        <w:rPr>
          <w:rStyle w:val="CharStyle10"/>
          <w:i/>
          <w:iCs/>
          <w:lang w:val="en-US" w:eastAsia="en-US"/>
        </w:rPr>
        <w:t xml:space="preserve">Philips IntelliVue, </w:t>
      </w:r>
      <w:r>
        <w:rPr>
          <w:rStyle w:val="CharStyle10"/>
          <w:i/>
          <w:iCs/>
        </w:rPr>
        <w:t xml:space="preserve">серии МР, МХ, </w:t>
      </w:r>
      <w:r>
        <w:rPr>
          <w:rStyle w:val="CharStyle10"/>
          <w:i/>
          <w:iCs/>
          <w:lang w:val="en-US" w:eastAsia="en-US"/>
        </w:rPr>
        <w:t>Efficia.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инструкции к датчикам температурным многоразовым для монитора пациента: </w:t>
      </w:r>
      <w:r>
        <w:rPr>
          <w:rStyle w:val="CharStyle10"/>
          <w:i/>
          <w:iCs/>
          <w:lang w:val="en-US" w:eastAsia="en-US"/>
        </w:rPr>
        <w:t xml:space="preserve">THP-AS </w:t>
      </w:r>
      <w:r>
        <w:rPr>
          <w:rStyle w:val="CharStyle10"/>
          <w:i/>
          <w:iCs/>
        </w:rPr>
        <w:t xml:space="preserve">указана совместимость с мониторами </w:t>
      </w:r>
      <w:r>
        <w:rPr>
          <w:rStyle w:val="CharStyle10"/>
          <w:i/>
          <w:iCs/>
          <w:lang w:val="en-US" w:eastAsia="en-US"/>
        </w:rPr>
        <w:t xml:space="preserve">Philips, </w:t>
      </w:r>
      <w:r>
        <w:rPr>
          <w:rStyle w:val="CharStyle10"/>
          <w:i/>
          <w:iCs/>
        </w:rPr>
        <w:t xml:space="preserve">при этом отсутствует указание на совместимость с мониторами </w:t>
      </w:r>
      <w:r>
        <w:rPr>
          <w:rStyle w:val="CharStyle10"/>
          <w:i/>
          <w:iCs/>
          <w:lang w:val="en-US" w:eastAsia="en-US"/>
        </w:rPr>
        <w:t xml:space="preserve">Philips </w:t>
      </w:r>
      <w:r>
        <w:rPr>
          <w:rStyle w:val="CharStyle10"/>
          <w:i/>
          <w:iCs/>
        </w:rPr>
        <w:t xml:space="preserve">модели </w:t>
      </w:r>
      <w:r>
        <w:rPr>
          <w:rStyle w:val="CharStyle10"/>
          <w:i/>
          <w:iCs/>
          <w:lang w:val="en-US" w:eastAsia="en-US"/>
        </w:rPr>
        <w:t xml:space="preserve">IntelliVue, </w:t>
      </w:r>
      <w:r>
        <w:rPr>
          <w:rStyle w:val="CharStyle10"/>
          <w:i/>
          <w:iCs/>
        </w:rPr>
        <w:t xml:space="preserve">серии МР, МХ, </w:t>
      </w:r>
      <w:r>
        <w:rPr>
          <w:rStyle w:val="CharStyle10"/>
          <w:i/>
          <w:iCs/>
          <w:lang w:val="en-US" w:eastAsia="en-US"/>
        </w:rPr>
        <w:t>Efficia.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ответ на запрос Заказчика о возможности использования предложенных медицинских изделий с оборудованием компании изготовителя </w:t>
      </w:r>
      <w:r>
        <w:rPr>
          <w:rStyle w:val="CharStyle10"/>
          <w:i/>
          <w:iCs/>
          <w:lang w:val="en-US" w:eastAsia="en-US"/>
        </w:rPr>
        <w:t xml:space="preserve">Philips Medical Systems Nederland B.V., </w:t>
      </w:r>
      <w:r>
        <w:rPr>
          <w:rStyle w:val="CharStyle10"/>
          <w:i/>
          <w:iCs/>
        </w:rPr>
        <w:t xml:space="preserve">компания ООО «ФИЛИПС» сообщает, что компания </w:t>
      </w:r>
      <w:r>
        <w:rPr>
          <w:rStyle w:val="CharStyle10"/>
          <w:i/>
          <w:iCs/>
          <w:lang w:val="en-US" w:eastAsia="en-US"/>
        </w:rPr>
        <w:t xml:space="preserve">Philips Medical Systems Nederland B.V., </w:t>
      </w:r>
      <w:r>
        <w:rPr>
          <w:rStyle w:val="CharStyle10"/>
          <w:i/>
          <w:iCs/>
        </w:rPr>
        <w:t xml:space="preserve">являющаяся изготовителем и поставщиком медицинского оборудования, не гарантирует корректную работу оборудования производства </w:t>
      </w:r>
      <w:r>
        <w:rPr>
          <w:rStyle w:val="CharStyle10"/>
          <w:i/>
          <w:iCs/>
          <w:lang w:val="en-US" w:eastAsia="en-US"/>
        </w:rPr>
        <w:t xml:space="preserve">Philips Medical Systems Nederland B.V. </w:t>
      </w:r>
      <w:r>
        <w:rPr>
          <w:rStyle w:val="CharStyle10"/>
          <w:i/>
          <w:iCs/>
        </w:rPr>
        <w:t xml:space="preserve">или других компаний, входящих в группу компаний </w:t>
      </w:r>
      <w:r>
        <w:rPr>
          <w:rStyle w:val="CharStyle10"/>
          <w:i/>
          <w:iCs/>
          <w:lang w:val="en-US" w:eastAsia="en-US"/>
        </w:rPr>
        <w:t xml:space="preserve">Philips, </w:t>
      </w:r>
      <w:r>
        <w:rPr>
          <w:rStyle w:val="CharStyle10"/>
          <w:i/>
          <w:iCs/>
        </w:rPr>
        <w:t>совместно с запасными частями и расходными принадлежностями сторонних производителей, а также безопасность их использования для пациента.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Указанный подход распространяется на мониторы пациента серий </w:t>
      </w:r>
      <w:r>
        <w:rPr>
          <w:rStyle w:val="CharStyle10"/>
          <w:i/>
          <w:iCs/>
          <w:lang w:val="en-US" w:eastAsia="en-US"/>
        </w:rPr>
        <w:t xml:space="preserve">Philips IntelliVue MP, MX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Efficia </w:t>
      </w:r>
      <w:r>
        <w:rPr>
          <w:rStyle w:val="CharStyle10"/>
          <w:i/>
          <w:iCs/>
        </w:rPr>
        <w:t>СМ.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Чтобы подтвердить совместимость и корректность работы принадлежностей сторонних производителей, необходимо провести метрологические и технические испытания с оборудованием производства </w:t>
      </w:r>
      <w:r>
        <w:rPr>
          <w:rStyle w:val="CharStyle10"/>
          <w:i/>
          <w:iCs/>
          <w:lang w:val="en-US" w:eastAsia="en-US"/>
        </w:rPr>
        <w:t xml:space="preserve">Philips </w:t>
      </w:r>
      <w:r>
        <w:rPr>
          <w:rStyle w:val="CharStyle10"/>
          <w:i/>
          <w:iCs/>
        </w:rPr>
        <w:t>и предоставить результаты, подтверждающие корректность работы и точность исследований с их использованием.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соответствии с пунктом </w:t>
      </w:r>
      <w:r>
        <w:rPr>
          <w:rStyle w:val="CharStyle10"/>
          <w:i/>
          <w:iCs/>
          <w:lang w:val="en-US" w:eastAsia="en-US"/>
        </w:rPr>
        <w:t xml:space="preserve">111 </w:t>
      </w:r>
      <w:r>
        <w:rPr>
          <w:rStyle w:val="CharStyle10"/>
          <w:i/>
          <w:iCs/>
        </w:rPr>
        <w:t xml:space="preserve">Постановления Правительства РФ от </w:t>
      </w:r>
      <w:r>
        <w:rPr>
          <w:rStyle w:val="CharStyle10"/>
          <w:i/>
          <w:iCs/>
          <w:lang w:val="en-US" w:eastAsia="en-US"/>
        </w:rPr>
        <w:t xml:space="preserve">1 </w:t>
      </w:r>
      <w:r>
        <w:rPr>
          <w:rStyle w:val="CharStyle10"/>
          <w:i/>
          <w:iCs/>
        </w:rPr>
        <w:t xml:space="preserve">апреля </w:t>
      </w:r>
      <w:r>
        <w:rPr>
          <w:rStyle w:val="CharStyle10"/>
          <w:i/>
          <w:iCs/>
          <w:lang w:val="en-US" w:eastAsia="en-US"/>
        </w:rPr>
        <w:t xml:space="preserve">2022 </w:t>
      </w:r>
      <w:r>
        <w:rPr>
          <w:rStyle w:val="CharStyle10"/>
          <w:i/>
          <w:iCs/>
        </w:rPr>
        <w:t xml:space="preserve">г. </w:t>
      </w:r>
      <w:r>
        <w:rPr>
          <w:rStyle w:val="CharStyle10"/>
          <w:i/>
          <w:iCs/>
          <w:lang w:val="en-US" w:eastAsia="en-US"/>
        </w:rPr>
        <w:t xml:space="preserve">N 552 </w:t>
      </w:r>
      <w:r>
        <w:rPr>
          <w:rStyle w:val="CharStyle10"/>
          <w:i/>
          <w:iCs/>
        </w:rPr>
        <w:t xml:space="preserve">«Об утверждении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характера»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</w:t>
      </w:r>
      <w:r>
        <w:rPr>
          <w:rStyle w:val="CharStyle10"/>
          <w:i/>
          <w:iCs/>
          <w:lang w:val="en-US" w:eastAsia="en-US"/>
        </w:rPr>
        <w:t xml:space="preserve">- </w:t>
      </w:r>
      <w:r>
        <w:rPr>
          <w:rStyle w:val="CharStyle10"/>
          <w:i/>
          <w:iCs/>
        </w:rPr>
        <w:t>токсикологическими исследованиями, проведенными федеральным 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По имеющейся у ФИЛИПС информации, реестр комплектующих, опубликованный на официальном сайте ВНИИМТ в соответствии с приказом Росздравнадзора от </w:t>
      </w:r>
      <w:r>
        <w:rPr>
          <w:rStyle w:val="CharStyle10"/>
          <w:i/>
          <w:iCs/>
          <w:lang w:val="en-US" w:eastAsia="en-US"/>
        </w:rPr>
        <w:t xml:space="preserve">16 </w:t>
      </w:r>
      <w:r>
        <w:rPr>
          <w:rStyle w:val="CharStyle10"/>
          <w:i/>
          <w:iCs/>
        </w:rPr>
        <w:t xml:space="preserve">мая </w:t>
      </w:r>
      <w:r>
        <w:rPr>
          <w:rStyle w:val="CharStyle10"/>
          <w:i/>
          <w:iCs/>
          <w:lang w:val="en-US" w:eastAsia="en-US"/>
        </w:rPr>
        <w:t xml:space="preserve">2023 </w:t>
      </w:r>
      <w:r>
        <w:rPr>
          <w:rStyle w:val="CharStyle10"/>
          <w:i/>
          <w:iCs/>
        </w:rPr>
        <w:t xml:space="preserve">г. </w:t>
      </w:r>
      <w:r>
        <w:rPr>
          <w:rStyle w:val="CharStyle10"/>
          <w:i/>
          <w:iCs/>
          <w:lang w:val="en-US" w:eastAsia="en-US"/>
        </w:rPr>
        <w:t xml:space="preserve">№ 2983, </w:t>
      </w:r>
      <w:r>
        <w:rPr>
          <w:rStyle w:val="CharStyle10"/>
          <w:i/>
          <w:iCs/>
        </w:rPr>
        <w:t xml:space="preserve">не содержит сведений о комплектующих, не предусмотренных в технической и эксплуатационной документации производителя для мониторов пациента серий </w:t>
      </w:r>
      <w:r>
        <w:rPr>
          <w:rStyle w:val="CharStyle10"/>
          <w:i/>
          <w:iCs/>
          <w:lang w:val="en-US" w:eastAsia="en-US"/>
        </w:rPr>
        <w:t xml:space="preserve">Philips IntelliVue MP, MX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Efficia </w:t>
      </w:r>
      <w:r>
        <w:rPr>
          <w:rStyle w:val="CharStyle10"/>
          <w:i/>
          <w:iCs/>
        </w:rPr>
        <w:t xml:space="preserve">СМ, прошедших соответствующе испытания и исследования. Указанные Вами датчики температурные многоразовые для мониторов пациента (ФСЗ </w:t>
      </w:r>
      <w:r>
        <w:rPr>
          <w:rStyle w:val="CharStyle10"/>
          <w:i/>
          <w:iCs/>
          <w:lang w:val="en-US" w:eastAsia="en-US"/>
        </w:rPr>
        <w:t xml:space="preserve">2011/11065 </w:t>
      </w:r>
      <w:r>
        <w:rPr>
          <w:rStyle w:val="CharStyle10"/>
          <w:i/>
          <w:iCs/>
        </w:rPr>
        <w:t xml:space="preserve">от </w:t>
      </w:r>
      <w:r>
        <w:rPr>
          <w:rStyle w:val="CharStyle10"/>
          <w:i/>
          <w:iCs/>
          <w:lang w:val="en-US" w:eastAsia="en-US"/>
        </w:rPr>
        <w:t xml:space="preserve">11 </w:t>
      </w:r>
      <w:r>
        <w:rPr>
          <w:rStyle w:val="CharStyle10"/>
          <w:i/>
          <w:iCs/>
        </w:rPr>
        <w:t xml:space="preserve">апреля </w:t>
      </w:r>
      <w:r>
        <w:rPr>
          <w:rStyle w:val="CharStyle10"/>
          <w:i/>
          <w:iCs/>
          <w:lang w:val="en-US" w:eastAsia="en-US"/>
        </w:rPr>
        <w:t xml:space="preserve">2017 </w:t>
      </w:r>
      <w:r>
        <w:rPr>
          <w:rStyle w:val="CharStyle10"/>
          <w:i/>
          <w:iCs/>
        </w:rPr>
        <w:t xml:space="preserve">года) не являются продукцией компаний </w:t>
      </w:r>
      <w:r>
        <w:rPr>
          <w:rStyle w:val="CharStyle10"/>
          <w:i/>
          <w:iCs/>
          <w:lang w:val="en-US" w:eastAsia="en-US"/>
        </w:rPr>
        <w:t xml:space="preserve">Philips Medical Systems Nederland B.V., Philips Medizin Systeme Boeblingen GmbH, Philips Medical Systems </w:t>
      </w:r>
      <w:r>
        <w:rPr>
          <w:rStyle w:val="CharStyle10"/>
          <w:i/>
          <w:iCs/>
        </w:rPr>
        <w:t xml:space="preserve">и не предусмотрены в технической и эксплуатационной документации производителя для мониторов пациента серий </w:t>
      </w:r>
      <w:r>
        <w:rPr>
          <w:rStyle w:val="CharStyle10"/>
          <w:i/>
          <w:iCs/>
          <w:lang w:val="en-US" w:eastAsia="en-US"/>
        </w:rPr>
        <w:t xml:space="preserve">Philips IntelliVue MP, MX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Efficia </w:t>
      </w:r>
      <w:r>
        <w:rPr>
          <w:rStyle w:val="CharStyle10"/>
          <w:i/>
          <w:iCs/>
        </w:rPr>
        <w:t xml:space="preserve">СМ. В отношении данных принадележностей производители мониторов пациента серий </w:t>
      </w:r>
      <w:r>
        <w:rPr>
          <w:rStyle w:val="CharStyle10"/>
          <w:i/>
          <w:iCs/>
          <w:lang w:val="en-US" w:eastAsia="en-US"/>
        </w:rPr>
        <w:t xml:space="preserve">Philips IntelliVue MP, MX </w:t>
      </w:r>
      <w:r>
        <w:rPr>
          <w:rStyle w:val="CharStyle10"/>
          <w:i/>
          <w:iCs/>
        </w:rPr>
        <w:t xml:space="preserve">и </w:t>
      </w:r>
      <w:r>
        <w:rPr>
          <w:rStyle w:val="CharStyle10"/>
          <w:i/>
          <w:iCs/>
          <w:lang w:val="en-US" w:eastAsia="en-US"/>
        </w:rPr>
        <w:t xml:space="preserve">Efficia </w:t>
      </w:r>
      <w:r>
        <w:rPr>
          <w:rStyle w:val="CharStyle10"/>
          <w:i/>
          <w:iCs/>
        </w:rPr>
        <w:t>СМ не производили испытаний и исследований.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инструкциях по эксплуатации оборудования </w:t>
      </w:r>
      <w:r>
        <w:rPr>
          <w:rStyle w:val="CharStyle10"/>
          <w:i/>
          <w:iCs/>
          <w:lang w:val="en-US" w:eastAsia="en-US"/>
        </w:rPr>
        <w:t xml:space="preserve">Philips </w:t>
      </w:r>
      <w:r>
        <w:rPr>
          <w:rStyle w:val="CharStyle10"/>
          <w:i/>
          <w:iCs/>
        </w:rPr>
        <w:t xml:space="preserve">указаны каталожные номера расходных принадлежностей производства </w:t>
      </w:r>
      <w:r>
        <w:rPr>
          <w:rStyle w:val="CharStyle10"/>
          <w:i/>
          <w:iCs/>
          <w:lang w:val="en-US" w:eastAsia="en-US"/>
        </w:rPr>
        <w:t xml:space="preserve">Philips, </w:t>
      </w:r>
      <w:r>
        <w:rPr>
          <w:rStyle w:val="CharStyle10"/>
          <w:i/>
          <w:iCs/>
        </w:rPr>
        <w:t xml:space="preserve">которые рекомендованы к использованию для каждого вида изделий. Компания </w:t>
      </w:r>
      <w:r>
        <w:rPr>
          <w:rStyle w:val="CharStyle10"/>
          <w:i/>
          <w:iCs/>
          <w:lang w:val="en-US" w:eastAsia="en-US"/>
        </w:rPr>
        <w:t xml:space="preserve">Philips </w:t>
      </w:r>
      <w:r>
        <w:rPr>
          <w:rStyle w:val="CharStyle10"/>
          <w:i/>
          <w:iCs/>
        </w:rPr>
        <w:t>не несет ответственности за результаты работы оборудования и исследований, которые проводились с неоригинальными запасными частями и расходными принадлежностями.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Использование запасных частей неизвестного происхождения, установленных несертифицированными специалистами, не может в полной мере отвечать стандартам качества медицинского оборудования компании </w:t>
      </w:r>
      <w:r>
        <w:rPr>
          <w:rStyle w:val="CharStyle10"/>
          <w:i/>
          <w:iCs/>
          <w:lang w:val="en-US" w:eastAsia="en-US"/>
        </w:rPr>
        <w:t xml:space="preserve">Philips </w:t>
      </w:r>
      <w:r>
        <w:rPr>
          <w:rStyle w:val="CharStyle10"/>
          <w:i/>
          <w:iCs/>
        </w:rPr>
        <w:t>и может привести к возникновению ряда рисков для пациентов и медицинского персонала. В связи с этим ФИЛИПС не может гарантировать качество исследований, проводимых на таком оборудовании, а также безопасность пациентов и медицинских работников. В случае, если оборудование с неоригинальным запасными частями не соответствует требованиям безопасности и эффективности, требованиям к технической и эксплуатационной документации и не может быть безопасно использовано по назначению,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i/>
          <w:iCs/>
        </w:rPr>
        <w:t>установленному изготовителем, оно может быть признано недоброкачественным медицинским изделием. Недоброкачественные медицинские изделия на территории Российской Федерации запрещены к обращению и подлежат изъятию из обращения и уничтожению. Дополнительно сообщаем, что установка неоригинальных запасных частей является внесением изменений в конструкцию медицинского оборудования и может привести к прекращению гарантийного обслуживания медицинского оборудования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П.1 ч.1 ст.33 Закона о контрактной системе установлено, что Заказчик в случаях, предусмотренных Законом о контрактной системе, при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ч.2 ст.33 Закона о контрактной системе описание объекта закупки в соответствии с требованиями, указанными в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Комиссией Управления установлено, что Заказчиком закупаются необходимые к поставке товары, при этом в составе структурированной формы извещения установлены требования к таким товарам, в частности: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 п.«Температурный датчик: Идентификатор: </w:t>
      </w:r>
      <w:r>
        <w:rPr>
          <w:rStyle w:val="CharStyle10"/>
          <w:lang w:val="en-US" w:eastAsia="en-US"/>
        </w:rPr>
        <w:t>189817139»: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«</w:t>
      </w:r>
      <w:r>
        <w:rPr>
          <w:rStyle w:val="CharStyle10"/>
          <w:i/>
          <w:iCs/>
        </w:rPr>
        <w:t xml:space="preserve">Совместимость: Мониторы </w:t>
      </w:r>
      <w:r>
        <w:rPr>
          <w:rStyle w:val="CharStyle10"/>
          <w:i/>
          <w:iCs/>
          <w:lang w:val="en-US" w:eastAsia="en-US"/>
        </w:rPr>
        <w:t xml:space="preserve">Philips IntelliVue, </w:t>
      </w:r>
      <w:r>
        <w:rPr>
          <w:rStyle w:val="CharStyle10"/>
          <w:i/>
          <w:iCs/>
        </w:rPr>
        <w:t xml:space="preserve">серии МР, МХ, </w:t>
      </w:r>
      <w:r>
        <w:rPr>
          <w:rStyle w:val="CharStyle10"/>
          <w:i/>
          <w:iCs/>
          <w:lang w:val="en-US" w:eastAsia="en-US"/>
        </w:rPr>
        <w:t>Efficia</w:t>
      </w:r>
      <w:r>
        <w:rPr>
          <w:rStyle w:val="CharStyle10"/>
          <w:lang w:val="en-US" w:eastAsia="en-US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системе, товарный знак (при наличии у товара товарного знака).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ч.1 ст.32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Заявителем подана заявка по структурированной форме, в которой по п.«Температурный датчик» предложены к поставке товар «Датчик температурный многоразовый для монитора пациента: </w:t>
      </w:r>
      <w:r>
        <w:rPr>
          <w:rStyle w:val="CharStyle10"/>
          <w:lang w:val="en-US" w:eastAsia="en-US"/>
        </w:rPr>
        <w:t xml:space="preserve">«THP-AS» </w:t>
      </w:r>
      <w:r>
        <w:rPr>
          <w:rStyle w:val="CharStyle10"/>
        </w:rPr>
        <w:t xml:space="preserve">с товарным знаком: </w:t>
      </w:r>
      <w:r>
        <w:rPr>
          <w:rStyle w:val="CharStyle10"/>
          <w:lang w:val="en-US" w:eastAsia="en-US"/>
        </w:rPr>
        <w:t xml:space="preserve">Unimed, </w:t>
      </w:r>
      <w:r>
        <w:rPr>
          <w:rStyle w:val="CharStyle10"/>
        </w:rPr>
        <w:t xml:space="preserve">регистрационное удостоверение ФСЗ </w:t>
      </w:r>
      <w:r>
        <w:rPr>
          <w:rStyle w:val="CharStyle10"/>
          <w:lang w:val="en-US" w:eastAsia="en-US"/>
        </w:rPr>
        <w:t xml:space="preserve">2011/11065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11.04.2017 </w:t>
      </w:r>
      <w:r>
        <w:rPr>
          <w:rStyle w:val="CharStyle10"/>
        </w:rPr>
        <w:t>на медицинское изделие «Датчики температурные многоразовые для мониторов пациента», производителя «Юнимед Медикал Сапплайз, Инк», КНР, а также указано значение установленной в извещении характеристики: «</w:t>
      </w:r>
      <w:r>
        <w:rPr>
          <w:rStyle w:val="CharStyle10"/>
          <w:i/>
          <w:iCs/>
        </w:rPr>
        <w:t xml:space="preserve">Совместимость: Мониторы </w:t>
      </w:r>
      <w:r>
        <w:rPr>
          <w:rStyle w:val="CharStyle10"/>
          <w:i/>
          <w:iCs/>
          <w:lang w:val="en-US" w:eastAsia="en-US"/>
        </w:rPr>
        <w:t xml:space="preserve">Philips IntelliVue, </w:t>
      </w:r>
      <w:r>
        <w:rPr>
          <w:rStyle w:val="CharStyle10"/>
          <w:i/>
          <w:iCs/>
        </w:rPr>
        <w:t xml:space="preserve">серии МР, МХ, </w:t>
      </w:r>
      <w:r>
        <w:rPr>
          <w:rStyle w:val="CharStyle10"/>
          <w:i/>
          <w:iCs/>
          <w:lang w:val="en-US" w:eastAsia="en-US"/>
        </w:rPr>
        <w:t>Efficia</w:t>
      </w:r>
      <w:r>
        <w:rPr>
          <w:rStyle w:val="CharStyle10"/>
          <w:lang w:val="en-US" w:eastAsia="en-US"/>
        </w:rPr>
        <w:t xml:space="preserve">», </w:t>
      </w:r>
      <w:r>
        <w:rPr>
          <w:rStyle w:val="CharStyle10"/>
        </w:rPr>
        <w:t>что соответствует требованиям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заседании Комиссии Управления представители Заказчика пояснили, что Заявка участника в п.«Температурный датчик» содержит информацию о регистрационном удостоверении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ФСЗ </w:t>
      </w:r>
      <w:r>
        <w:rPr>
          <w:rStyle w:val="CharStyle10"/>
          <w:lang w:val="en-US" w:eastAsia="en-US"/>
        </w:rPr>
        <w:t xml:space="preserve">2011/11065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11.04.2017 </w:t>
      </w:r>
      <w:r>
        <w:rPr>
          <w:rStyle w:val="CharStyle10"/>
        </w:rPr>
        <w:t>на медицинское изделие «Датчики температурные многоразовые для мониторов пациента», производителя «Юнимед Медикал Сапплайз, Инк», КНР, с характеристикой: «</w:t>
      </w:r>
      <w:r>
        <w:rPr>
          <w:rStyle w:val="CharStyle10"/>
          <w:i/>
          <w:iCs/>
        </w:rPr>
        <w:t xml:space="preserve">Совместимость: Мониторы </w:t>
      </w:r>
      <w:r>
        <w:rPr>
          <w:rStyle w:val="CharStyle10"/>
          <w:i/>
          <w:iCs/>
          <w:lang w:val="en-US" w:eastAsia="en-US"/>
        </w:rPr>
        <w:t xml:space="preserve">Philips IntelliVue, </w:t>
      </w:r>
      <w:r>
        <w:rPr>
          <w:rStyle w:val="CharStyle10"/>
          <w:i/>
          <w:iCs/>
        </w:rPr>
        <w:t xml:space="preserve">серии МР, МХ, </w:t>
      </w:r>
      <w:r>
        <w:rPr>
          <w:rStyle w:val="CharStyle10"/>
          <w:i/>
          <w:iCs/>
          <w:lang w:val="en-US" w:eastAsia="en-US"/>
        </w:rPr>
        <w:t>Efficia</w:t>
      </w:r>
      <w:r>
        <w:rPr>
          <w:rStyle w:val="CharStyle10"/>
          <w:lang w:val="en-US" w:eastAsia="en-US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 в инструкции на регистрационное удостоверение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ФСЗ </w:t>
      </w:r>
      <w:r>
        <w:rPr>
          <w:rStyle w:val="CharStyle10"/>
          <w:lang w:val="en-US" w:eastAsia="en-US"/>
        </w:rPr>
        <w:t xml:space="preserve">2011/11065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11.04.2017 </w:t>
      </w:r>
      <w:r>
        <w:rPr>
          <w:rStyle w:val="CharStyle10"/>
        </w:rPr>
        <w:t xml:space="preserve">к предложенным датчикам </w:t>
      </w:r>
      <w:r>
        <w:rPr>
          <w:rStyle w:val="CharStyle10"/>
          <w:lang w:val="en-US" w:eastAsia="en-US"/>
        </w:rPr>
        <w:t xml:space="preserve">THP-AS </w:t>
      </w:r>
      <w:r>
        <w:rPr>
          <w:rStyle w:val="CharStyle10"/>
        </w:rPr>
        <w:t xml:space="preserve">указана совместимость только с мониторами </w:t>
      </w:r>
      <w:r>
        <w:rPr>
          <w:rStyle w:val="CharStyle10"/>
          <w:lang w:val="en-US" w:eastAsia="en-US"/>
        </w:rPr>
        <w:t xml:space="preserve">Philips, </w:t>
      </w:r>
      <w:r>
        <w:rPr>
          <w:rStyle w:val="CharStyle10"/>
        </w:rPr>
        <w:t xml:space="preserve">указание на совместимость с мониторами </w:t>
      </w:r>
      <w:r>
        <w:rPr>
          <w:rStyle w:val="CharStyle10"/>
          <w:lang w:val="en-US" w:eastAsia="en-US"/>
        </w:rPr>
        <w:t xml:space="preserve">Philips </w:t>
      </w:r>
      <w:r>
        <w:rPr>
          <w:rStyle w:val="CharStyle10"/>
        </w:rPr>
        <w:t xml:space="preserve">модели </w:t>
      </w:r>
      <w:r>
        <w:rPr>
          <w:rStyle w:val="CharStyle10"/>
          <w:lang w:val="en-US" w:eastAsia="en-US"/>
        </w:rPr>
        <w:t xml:space="preserve">IntelliVue, </w:t>
      </w:r>
      <w:r>
        <w:rPr>
          <w:rStyle w:val="CharStyle10"/>
        </w:rPr>
        <w:t xml:space="preserve">серии МР, МХ, </w:t>
      </w:r>
      <w:r>
        <w:rPr>
          <w:rStyle w:val="CharStyle10"/>
          <w:lang w:val="en-US" w:eastAsia="en-US"/>
        </w:rPr>
        <w:t xml:space="preserve">Efficia </w:t>
      </w:r>
      <w:r>
        <w:rPr>
          <w:rStyle w:val="CharStyle10"/>
        </w:rPr>
        <w:t>отсутствует.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Кроме того, в соответствии с руководствами по эксплуатации Мониторов пациента </w:t>
      </w:r>
      <w:r>
        <w:rPr>
          <w:rStyle w:val="CharStyle10"/>
          <w:lang w:val="en-US" w:eastAsia="en-US"/>
        </w:rPr>
        <w:t xml:space="preserve">IntelliVue MP20/30, MP40/50, MP60/70/80/90; </w:t>
      </w:r>
      <w:r>
        <w:rPr>
          <w:rStyle w:val="CharStyle10"/>
        </w:rPr>
        <w:t xml:space="preserve">МХ400/450/500/550/600/700/800, а также, в соответствии с письмом производителя ООО «Филипс» Исх. </w:t>
      </w:r>
      <w:r>
        <w:rPr>
          <w:rStyle w:val="CharStyle10"/>
          <w:lang w:val="en-US" w:eastAsia="en-US"/>
        </w:rPr>
        <w:t xml:space="preserve">№ 14953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02.09.2025, </w:t>
      </w:r>
      <w:r>
        <w:rPr>
          <w:rStyle w:val="CharStyle10"/>
        </w:rPr>
        <w:t>производитель рекомендует использовать только принадлежности, одобренные компанией ООО «Филипс».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руководстве по эксплуатации Мониторов пациента </w:t>
      </w:r>
      <w:r>
        <w:rPr>
          <w:rStyle w:val="CharStyle10"/>
          <w:lang w:val="en-US" w:eastAsia="en-US"/>
        </w:rPr>
        <w:t xml:space="preserve">IntelliVue MP20/30, MP40/50, MP60/70/80/90 </w:t>
      </w:r>
      <w:r>
        <w:rPr>
          <w:rStyle w:val="CharStyle10"/>
        </w:rPr>
        <w:t xml:space="preserve">указаны следующие каталожные номера расходных материалов, которые рекомендует ООО «Филипс»: 21075А; 21076А; 21078А; М1837А; </w:t>
      </w:r>
      <w:r>
        <w:rPr>
          <w:rStyle w:val="CharStyle10"/>
          <w:lang w:val="en-US" w:eastAsia="en-US"/>
        </w:rPr>
        <w:t>21091A; 21093A; 21094A; 21095A; 21090A; M2255A; 21096A.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руководстве по эксплуатации Мониторов пациента </w:t>
      </w:r>
      <w:r>
        <w:rPr>
          <w:rStyle w:val="CharStyle10"/>
          <w:lang w:val="en-US" w:eastAsia="en-US"/>
        </w:rPr>
        <w:t xml:space="preserve">IntelliVue </w:t>
      </w:r>
      <w:r>
        <w:rPr>
          <w:rStyle w:val="CharStyle10"/>
        </w:rPr>
        <w:t xml:space="preserve">МХ400/450/500/550/600/700/800 указаны следующие каталожные номера расходных материалов, которые рекомендует ООО «Филипс»: </w:t>
      </w:r>
      <w:r>
        <w:rPr>
          <w:rStyle w:val="CharStyle10"/>
          <w:lang w:val="en-US" w:eastAsia="en-US"/>
        </w:rPr>
        <w:t>21075A; 21076A; 21078A; M1837A; 21091A; 21093A; 21094A; 21095A; 21090A; M2255A; 21096A; 21097A; 21082B; 21082A.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этим, в указанных инструкциях отсутствует рекомендация на использование температурного датчика </w:t>
      </w:r>
      <w:r>
        <w:rPr>
          <w:rStyle w:val="CharStyle10"/>
          <w:lang w:val="en-US" w:eastAsia="en-US"/>
        </w:rPr>
        <w:t xml:space="preserve">«THP-AS» </w:t>
      </w:r>
      <w:r>
        <w:rPr>
          <w:rStyle w:val="CharStyle10"/>
        </w:rPr>
        <w:t xml:space="preserve">с товарным знаком: </w:t>
      </w:r>
      <w:r>
        <w:rPr>
          <w:rStyle w:val="CharStyle10"/>
          <w:lang w:val="en-US" w:eastAsia="en-US"/>
        </w:rPr>
        <w:t xml:space="preserve">Unimed, </w:t>
      </w:r>
      <w:r>
        <w:rPr>
          <w:rStyle w:val="CharStyle10"/>
        </w:rPr>
        <w:t>Китай.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заявка Заявителя подлежала отклонению, поскольку предлагаемые к поставке товары не являются совместимыми с мониторами </w:t>
      </w:r>
      <w:r>
        <w:rPr>
          <w:rStyle w:val="CharStyle10"/>
          <w:lang w:val="en-US" w:eastAsia="en-US"/>
        </w:rPr>
        <w:t xml:space="preserve">Philips </w:t>
      </w:r>
      <w:r>
        <w:rPr>
          <w:rStyle w:val="CharStyle10"/>
        </w:rPr>
        <w:t xml:space="preserve">модели </w:t>
      </w:r>
      <w:r>
        <w:rPr>
          <w:rStyle w:val="CharStyle10"/>
          <w:lang w:val="en-US" w:eastAsia="en-US"/>
        </w:rPr>
        <w:t xml:space="preserve">IntelliVue, </w:t>
      </w:r>
      <w:r>
        <w:rPr>
          <w:rStyle w:val="CharStyle10"/>
        </w:rPr>
        <w:t>серии МР, МХ, имеющейся у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Управления отмечает, что, представители Заказчика указали, что Заказчиком не закупаются расходные материалы для мониторов серии </w:t>
      </w:r>
      <w:r>
        <w:rPr>
          <w:rStyle w:val="CharStyle10"/>
          <w:lang w:val="en-US" w:eastAsia="en-US"/>
        </w:rPr>
        <w:t>«Efficia».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 в соответствии с ч.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38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21.11.2011 № </w:t>
      </w:r>
      <w:r>
        <w:rPr>
          <w:rStyle w:val="CharStyle10"/>
        </w:rPr>
        <w:t xml:space="preserve">323-ФЗ «Об основах охраны здоровья граждан в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Закон об основах охраны здоровья граждан)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ч.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38 </w:t>
      </w:r>
      <w:r>
        <w:rPr>
          <w:rStyle w:val="CharStyle10"/>
        </w:rPr>
        <w:t>Закона об основах охраны здоровья граждан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 осуществляются в соответствии с разработанной производителем (изготовителем) медицинского изделия технической и (или) эксплуатационной документации.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позиции Росздравнадзора изложенной в письме от </w:t>
      </w:r>
      <w:r>
        <w:rPr>
          <w:rStyle w:val="CharStyle10"/>
          <w:lang w:val="en-US" w:eastAsia="en-US"/>
        </w:rPr>
        <w:t>31.03.2023 № 10</w:t>
        <w:softHyphen/>
        <w:t xml:space="preserve">18368/23 </w:t>
      </w: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 xml:space="preserve">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01.04.2022 № 552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Особенности),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3.2 </w:t>
      </w:r>
      <w:r>
        <w:rPr>
          <w:rStyle w:val="CharStyle10"/>
        </w:rPr>
        <w:t xml:space="preserve">ГОСТ </w:t>
      </w:r>
      <w:r>
        <w:rPr>
          <w:rStyle w:val="CharStyle10"/>
          <w:lang w:val="en-US" w:eastAsia="en-US"/>
        </w:rPr>
        <w:t xml:space="preserve">31508-2012 </w:t>
      </w:r>
      <w:r>
        <w:rPr>
          <w:rStyle w:val="CharStyle10"/>
        </w:rPr>
        <w:t>«Межгосударственный стандарт. Изделия медицинские. Классификация в зависимости от потенциального риска применения. Общие требования» принадлежностями являются предметы,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того, чтобы медицинское изделие могло быть использовано в соответствии с целевым назначением.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11(1) </w:t>
      </w:r>
      <w:r>
        <w:rPr>
          <w:rStyle w:val="CharStyle10"/>
        </w:rPr>
        <w:t xml:space="preserve">Особенностей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токсикологическими исследованиями, проведенными федеральным 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ч.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38 </w:t>
      </w:r>
      <w:r>
        <w:rPr>
          <w:rStyle w:val="CharStyle10"/>
        </w:rPr>
        <w:t>Закона об основах охраны здоровья граждан.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ч.8 ст.38 Закона об основах охраны здоровья граждан в целях 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 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уполномоченным федеральным органом исполнительной власти).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законом от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июля </w:t>
      </w:r>
      <w:r>
        <w:rPr>
          <w:rStyle w:val="CharStyle10"/>
          <w:lang w:val="en-US" w:eastAsia="en-US"/>
        </w:rPr>
        <w:t xml:space="preserve">2020 </w:t>
      </w:r>
      <w:r>
        <w:rPr>
          <w:rStyle w:val="CharStyle10"/>
        </w:rPr>
        <w:t>года №258-ФЗ «Об экспериментальных правовых режимах в сфере цифровых инноваций в Российской Федерации», с учетом требований, установленных правом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Комиссия Управления приходит к выводу, что при эксплуатации медицинских изделий допускается применение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токсикологическими исследованиями, проведенными федеральным государственным бюджетным учреждением «Всероссийский научноисследовательский и испытательный институт медицинской техники» Федеральной службы по надзору в сфере здравоохранения, а также клиническими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испытаниями, проведенными в порядке, установленном в соответствии с ч.8 ст.38 Закона об основах охраны здоровья граждан.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Аналогичная позиция изложена в письме Росздравнадзора от </w:t>
      </w:r>
      <w:r>
        <w:rPr>
          <w:rStyle w:val="CharStyle10"/>
          <w:lang w:val="en-US" w:eastAsia="en-US"/>
        </w:rPr>
        <w:t>31.03.2023 №10</w:t>
        <w:softHyphen/>
        <w:t xml:space="preserve">18368/23 </w:t>
      </w:r>
      <w:r>
        <w:rPr>
          <w:rStyle w:val="CharStyle10"/>
        </w:rPr>
        <w:t>«О предоставлении информации».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 в руководстве на медицинское изделие «Датчики температурные многоразовые для мониторов пациента», производителя «Юнимед Медикал Сапплайз, Инк» к регистрационному удостоверению №ФСЗ </w:t>
      </w:r>
      <w:r>
        <w:rPr>
          <w:rStyle w:val="CharStyle10"/>
          <w:lang w:val="en-US" w:eastAsia="en-US"/>
        </w:rPr>
        <w:t xml:space="preserve">2011/11065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11.04.2017 </w:t>
      </w:r>
      <w:r>
        <w:rPr>
          <w:rStyle w:val="CharStyle10"/>
        </w:rPr>
        <w:t xml:space="preserve">на стр.5 указано, что датчик модели </w:t>
      </w:r>
      <w:r>
        <w:rPr>
          <w:rStyle w:val="CharStyle10"/>
          <w:lang w:val="en-US" w:eastAsia="en-US"/>
        </w:rPr>
        <w:t xml:space="preserve">«THP-AS» </w:t>
      </w:r>
      <w:r>
        <w:rPr>
          <w:rStyle w:val="CharStyle10"/>
        </w:rPr>
        <w:t xml:space="preserve">не только обладает совместимостью с мониторами </w:t>
      </w:r>
      <w:r>
        <w:rPr>
          <w:rStyle w:val="CharStyle10"/>
          <w:lang w:val="en-US" w:eastAsia="en-US"/>
        </w:rPr>
        <w:t xml:space="preserve">Philips, </w:t>
      </w:r>
      <w:r>
        <w:rPr>
          <w:rStyle w:val="CharStyle10"/>
        </w:rPr>
        <w:t xml:space="preserve">но и является аналогом каталожного </w:t>
      </w:r>
      <w:r>
        <w:rPr>
          <w:rStyle w:val="CharStyle10"/>
          <w:lang w:val="en-US" w:eastAsia="en-US"/>
        </w:rPr>
        <w:t>номера21078A.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в руководстве по эксплуатации Мониторов пациента </w:t>
      </w:r>
      <w:r>
        <w:rPr>
          <w:rStyle w:val="CharStyle10"/>
          <w:lang w:val="en-US" w:eastAsia="en-US"/>
        </w:rPr>
        <w:t xml:space="preserve">IntelliVue MP20/30, MP40/50, MP60/70/80/90 </w:t>
      </w:r>
      <w:r>
        <w:rPr>
          <w:rStyle w:val="CharStyle10"/>
        </w:rPr>
        <w:t xml:space="preserve">на стр.482, а также в руководстве по эксплуатации Мониторов пациента </w:t>
      </w:r>
      <w:r>
        <w:rPr>
          <w:rStyle w:val="CharStyle10"/>
          <w:lang w:val="en-US" w:eastAsia="en-US"/>
        </w:rPr>
        <w:t xml:space="preserve">IntelliVue </w:t>
      </w:r>
      <w:r>
        <w:rPr>
          <w:rStyle w:val="CharStyle10"/>
        </w:rPr>
        <w:t xml:space="preserve">МХ400/450/500/550/600/700/800 на стр.505 указаны датчики, рекомендованные </w:t>
      </w:r>
      <w:r>
        <w:rPr>
          <w:rStyle w:val="CharStyle10"/>
          <w:lang w:val="en-US" w:eastAsia="en-US"/>
        </w:rPr>
        <w:t xml:space="preserve">Philips, </w:t>
      </w:r>
      <w:r>
        <w:rPr>
          <w:rStyle w:val="CharStyle10"/>
        </w:rPr>
        <w:t xml:space="preserve">среди которых указан каталожный номер </w:t>
      </w:r>
      <w:r>
        <w:rPr>
          <w:rStyle w:val="CharStyle10"/>
          <w:lang w:val="en-US" w:eastAsia="en-US"/>
        </w:rPr>
        <w:t xml:space="preserve">21078A, </w:t>
      </w:r>
      <w:r>
        <w:rPr>
          <w:rStyle w:val="CharStyle10"/>
        </w:rPr>
        <w:t>что также было подтверждено заказчиком.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этим, указанный номер соответствует предложенному Заявителем датчику модели </w:t>
      </w:r>
      <w:r>
        <w:rPr>
          <w:rStyle w:val="CharStyle10"/>
          <w:lang w:val="en-US" w:eastAsia="en-US"/>
        </w:rPr>
        <w:t>«THP-AS».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основе вышеизложенного, из официально зарегистрированных Росздравнадзором технических документов на медицинское изделие, Комиссия Управления приходит к выводу о том, что предлагаемые Заявителем к поставке расходные материалы совместимы с имеющимися у Заказчика мониторами </w:t>
      </w:r>
      <w:r>
        <w:rPr>
          <w:rStyle w:val="CharStyle10"/>
          <w:lang w:val="en-US" w:eastAsia="en-US"/>
        </w:rPr>
        <w:t xml:space="preserve">Philips </w:t>
      </w:r>
      <w:r>
        <w:rPr>
          <w:rStyle w:val="CharStyle10"/>
        </w:rPr>
        <w:t xml:space="preserve">модели </w:t>
      </w:r>
      <w:r>
        <w:rPr>
          <w:rStyle w:val="CharStyle10"/>
          <w:lang w:val="en-US" w:eastAsia="en-US"/>
        </w:rPr>
        <w:t xml:space="preserve">IntelliVue, </w:t>
      </w:r>
      <w:r>
        <w:rPr>
          <w:rStyle w:val="CharStyle10"/>
        </w:rPr>
        <w:t>серии МР, МХ.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0"/>
          <w:lang w:val="en-US" w:eastAsia="en-US"/>
        </w:rPr>
        <w:t xml:space="preserve">1 - 8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1.1, 2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(при наличии таких требований) 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предусмотренных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4, </w:t>
      </w:r>
      <w:r>
        <w:rPr>
          <w:rStyle w:val="CharStyle10"/>
        </w:rPr>
        <w:t xml:space="preserve">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выявления отнесения участника закупки к организациям, предусмотренным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июня </w:t>
      </w:r>
      <w:r>
        <w:rPr>
          <w:rStyle w:val="CharStyle10"/>
          <w:lang w:val="en-US" w:eastAsia="en-US"/>
        </w:rPr>
        <w:t xml:space="preserve">2018 </w:t>
      </w:r>
      <w:r>
        <w:rPr>
          <w:rStyle w:val="CharStyle10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предусмотренных ч.6 ст. </w:t>
      </w:r>
      <w:r>
        <w:rPr>
          <w:rStyle w:val="CharStyle10"/>
          <w:lang w:val="en-US" w:eastAsia="en-US"/>
        </w:rPr>
        <w:t xml:space="preserve">45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Комиссия Управления приходит к выводу о том, что решение комиссии Заказчика об отклонении заявки ИП Малыгина Е.С. по основанию, отраженному в протоколе подведения итогов электронного аукциона, является неправомерным и принято в нарушение пп. «а» п.1 ч.5 ст.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>Закона о контрактной системе, что содержит признаки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.Признать жалобу ИП Малыгина Е.С. на действия комиссии ГБУЗ «ДГКБ им. Н.Ф.Филатова ДЗМ»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.Признать в действиях комиссии Заказчика нарушения пп.«а» п.1 ч.5 ст.49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rStyle w:val="CharStyle10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3" w:right="539" w:bottom="1191" w:left="10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07340" distL="0" distR="0" simplePos="0" relativeHeight="125829384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600000000000001pt;margin-top:10.pt;width:145.20000000000002pt;height:19.699999999999999pt;z-index:-125829369;mso-wrap-distance-left:0;mso-wrap-distance-top:10.pt;mso-wrap-distance-right:0;mso-wrap-distance-bottom:24.1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175" distB="0" distL="0" distR="1786255" simplePos="0" relativeHeight="125829386" behindDoc="0" locked="0" layoutInCell="1" allowOverlap="1">
            <wp:simplePos x="0" y="0"/>
            <wp:positionH relativeFrom="page">
              <wp:posOffset>3084830</wp:posOffset>
            </wp:positionH>
            <wp:positionV relativeFrom="paragraph">
              <wp:posOffset>130175</wp:posOffset>
            </wp:positionV>
            <wp:extent cx="389890" cy="55499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3575685</wp:posOffset>
                </wp:positionH>
                <wp:positionV relativeFrom="paragraph">
                  <wp:posOffset>568960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55000000000001pt;margin-top:44.80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3535680</wp:posOffset>
                </wp:positionH>
                <wp:positionV relativeFrom="paragraph">
                  <wp:posOffset>252095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8.40000000000003pt;margin-top:19.8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07340" distL="0" distR="0" simplePos="0" relativeHeight="125829387" behindDoc="0" locked="0" layoutInCell="1" allowOverlap="1">
                <wp:simplePos x="0" y="0"/>
                <wp:positionH relativeFrom="page">
                  <wp:posOffset>5901055</wp:posOffset>
                </wp:positionH>
                <wp:positionV relativeFrom="paragraph">
                  <wp:posOffset>127000</wp:posOffset>
                </wp:positionV>
                <wp:extent cx="130746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4.65000000000003pt;margin-top:10.pt;width:102.95pt;height:19.699999999999999pt;z-index:-125829366;mso-wrap-distance-left:0;mso-wrap-distance-top:10.pt;mso-wrap-distance-right:0;mso-wrap-distance-bottom:24.1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3114675</wp:posOffset>
            </wp:positionH>
            <wp:positionV relativeFrom="paragraph">
              <wp:posOffset>12700</wp:posOffset>
            </wp:positionV>
            <wp:extent cx="359410" cy="5422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3575050</wp:posOffset>
                </wp:positionH>
                <wp:positionV relativeFrom="paragraph">
                  <wp:posOffset>417830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5pt;margin-top:32.899999999999999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3532505</wp:posOffset>
                </wp:positionH>
                <wp:positionV relativeFrom="paragraph">
                  <wp:posOffset>100965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8.15000000000003pt;margin-top:7.9500000000000002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 xml:space="preserve">Матюшенко Александр Александрович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0" w:line="266" w:lineRule="auto"/>
        <w:ind w:right="0" w:firstLine="0"/>
        <w:jc w:val="left"/>
      </w:pPr>
      <w:r>
        <w:rPr>
          <w:rStyle w:val="CharStyle21"/>
        </w:rPr>
        <w:t>Действителен с 22.07.2025 по 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3114675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3575050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5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3535045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8.35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А.И. Рахматуллаев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Рахматуллаев Алексей Ильич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7AEE97A08C8432425F146F6255A521C3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20" w:line="240" w:lineRule="auto"/>
        <w:ind w:right="0" w:firstLine="0"/>
        <w:jc w:val="left"/>
      </w:pPr>
      <w:r>
        <w:rPr>
          <w:rStyle w:val="CharStyle21"/>
        </w:rPr>
        <w:t xml:space="preserve">Действителен с 12.11.2024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05.02.2026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734695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2025-42081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850000000000001pt;margin-top:794.70000000000005pt;width:56.649999999999999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2025-42081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69786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2025-42081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04.30000000000007pt;width:54.950000000000003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2025-42081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3879850</wp:posOffset>
              </wp:positionH>
              <wp:positionV relativeFrom="page">
                <wp:posOffset>473075</wp:posOffset>
              </wp:positionV>
              <wp:extent cx="13716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5.5pt;margin-top:37.25pt;width:10.80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Body text (5)_"/>
    <w:basedOn w:val="DefaultParagraphFont"/>
    <w:link w:val="Style12"/>
    <w:rPr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  <w:spacing w:after="200"/>
      <w:jc w:val="right"/>
    </w:pPr>
    <w:rPr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