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59753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975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80" w:line="1" w:lineRule="exact"/>
      </w:pPr>
    </w:p>
    <w:p>
      <w:pPr>
        <w:widowControl w:val="0"/>
        <w:spacing w:line="1" w:lineRule="exac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89" w:right="541" w:bottom="1226" w:left="1097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9"/>
          <w:b/>
          <w:bCs/>
        </w:rPr>
        <w:t>УПРАВЛЕНИЕ</w:t>
        <w:br/>
        <w:t>Федеральной антимонопольной службы</w:t>
        <w:br/>
        <w:t>по Липецкой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rStyle w:val="CharStyle6"/>
        </w:rPr>
        <w:t>пл. Плеханова, 1, г. Липецк, 398050</w:t>
        <w:br/>
        <w:t>тел./факс (4742) 27-14-82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rStyle w:val="CharStyle6"/>
          <w:lang w:val="en-US" w:eastAsia="en-US"/>
        </w:rPr>
        <w:t xml:space="preserve">e-mail: </w:t>
      </w:r>
      <w:r>
        <w:fldChar w:fldCharType="begin"/>
      </w:r>
      <w:r>
        <w:rPr/>
        <w:instrText> HYPERLINK "mailto:to48@fas.gov.ru" </w:instrText>
      </w:r>
      <w:r>
        <w:fldChar w:fldCharType="separate"/>
      </w:r>
      <w:r>
        <w:rPr>
          <w:rStyle w:val="CharStyle6"/>
          <w:lang w:val="en-US" w:eastAsia="en-US"/>
        </w:rPr>
        <w:t>to48@fas.gov.ru</w:t>
      </w:r>
      <w:r>
        <w:fldChar w:fldCharType="end"/>
      </w:r>
      <w:r>
        <w:rPr>
          <w:rStyle w:val="CharStyle6"/>
          <w:lang w:val="en-US" w:eastAsia="en-US"/>
        </w:rPr>
        <w:t xml:space="preserve"> </w:t>
      </w:r>
      <w:r>
        <w:fldChar w:fldCharType="begin"/>
      </w:r>
      <w:r>
        <w:rPr/>
        <w:instrText> HYPERLINK "http://lipetsk.fas.gov.ru" </w:instrText>
      </w:r>
      <w:r>
        <w:fldChar w:fldCharType="separate"/>
      </w:r>
      <w:r>
        <w:rPr>
          <w:rStyle w:val="CharStyle6"/>
          <w:lang w:val="en-US" w:eastAsia="en-US"/>
        </w:rPr>
        <w:t>http://lipetsk.fas.gov.ru</w:t>
      </w:r>
      <w:r>
        <w:fldChar w:fldCharType="end"/>
      </w:r>
    </w:p>
    <w:p>
      <w:pPr>
        <w:pStyle w:val="Style10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1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1"/>
        </w:rPr>
        <w:t>7.05.2025</w:t>
        <w:tab/>
      </w:r>
      <w:r>
        <w:fldChar w:fldCharType="end"/>
      </w:r>
      <w:r>
        <w:rPr>
          <w:rStyle w:val="CharStyle11"/>
        </w:rPr>
        <w:t>№ ИП/2824/25</w:t>
      </w:r>
      <w:bookmarkEnd w:id="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3"/>
          <w:rFonts w:ascii="Times New Roman" w:eastAsia="Times New Roman" w:hAnsi="Times New Roman" w:cs="Times New Roman"/>
          <w:color w:val="476097"/>
          <w:sz w:val="18"/>
          <w:szCs w:val="18"/>
        </w:rPr>
        <w:t xml:space="preserve">На №  от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176530"/>
            <wp:docPr id="5" name="Picut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597150" cy="17653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6"/>
        </w:rPr>
        <w:t xml:space="preserve">Муниципальное казенное учреждение «Управление муниципального заказа города Липецка» </w:t>
      </w:r>
      <w:r>
        <w:fldChar w:fldCharType="begin"/>
      </w:r>
      <w:r>
        <w:rPr/>
        <w:instrText> HYPERLINK "mailto:dorohovaol@lipetskcity.ru" </w:instrText>
      </w:r>
      <w:r>
        <w:fldChar w:fldCharType="separate"/>
      </w:r>
      <w:r>
        <w:rPr>
          <w:rStyle w:val="CharStyle16"/>
          <w:lang w:val="en-US" w:eastAsia="en-US"/>
        </w:rPr>
        <w:t>dorohovaol@lipetskcity.ru</w:t>
      </w:r>
      <w:r>
        <w:fldChar w:fldCharType="end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6"/>
        </w:rPr>
        <w:t xml:space="preserve">Автономная некоммерческая организация в сфере поддержки отечественных производителей «Консорциум «Производители охранных, пожарных, СКУД систем безопасности» </w:t>
      </w:r>
      <w:r>
        <w:fldChar w:fldCharType="begin"/>
      </w:r>
      <w:r>
        <w:rPr/>
        <w:instrText> HYPERLINK "mailto:info@anopopsb.ru" </w:instrText>
      </w:r>
      <w:r>
        <w:fldChar w:fldCharType="separate"/>
      </w:r>
      <w:r>
        <w:rPr>
          <w:rStyle w:val="CharStyle16"/>
          <w:lang w:val="en-US" w:eastAsia="en-US"/>
        </w:rPr>
        <w:t>info@anopopsb.ru</w:t>
      </w:r>
      <w:r>
        <w:fldChar w:fldCharType="end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Муниципальное бюджетное дошкольное образовательное учреждение № 101 г. Липецка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9" w:right="633" w:bottom="1217" w:left="1145" w:header="0" w:footer="3" w:gutter="0"/>
          <w:cols w:num="2" w:space="720" w:equalWidth="0">
            <w:col w:w="4210" w:space="1051"/>
            <w:col w:w="4862"/>
          </w:cols>
          <w:noEndnote/>
          <w:rtlGutter w:val="0"/>
          <w:docGrid w:linePitch="360"/>
        </w:sectPr>
      </w:pPr>
      <w:r>
        <w:fldChar w:fldCharType="begin"/>
      </w:r>
      <w:r>
        <w:rPr/>
        <w:instrText> HYPERLINK "mailto:mdoulip101@yandex.ru" </w:instrText>
      </w:r>
      <w:r>
        <w:fldChar w:fldCharType="separate"/>
      </w:r>
      <w:r>
        <w:rPr>
          <w:rStyle w:val="CharStyle16"/>
          <w:lang w:val="en-US" w:eastAsia="en-US"/>
        </w:rPr>
        <w:t>mdoulip101@yandex.ru</w:t>
      </w:r>
      <w:r>
        <w:fldChar w:fldCharType="end"/>
      </w:r>
    </w:p>
    <w:p>
      <w:pPr>
        <w:widowControl w:val="0"/>
        <w:spacing w:line="123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7" w:right="0" w:bottom="110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6"/>
        </w:rPr>
        <w:t>РЕШЕНИЕ № 048/06/106-404/2025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8813" w:val="left"/>
        </w:tabs>
        <w:bidi w:val="0"/>
        <w:spacing w:before="0" w:after="280" w:line="240" w:lineRule="auto"/>
        <w:ind w:left="0" w:right="0" w:firstLine="0"/>
        <w:jc w:val="both"/>
      </w:pPr>
      <w:r>
        <w:rPr>
          <w:rStyle w:val="CharStyle16"/>
        </w:rPr>
        <w:t>«30» апреля 2025 года</w:t>
        <w:tab/>
        <w:t>г. Липецк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6"/>
        </w:rPr>
        <w:t>Резолютивная часть решения оглашена 30.04.2025.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600"/>
        <w:jc w:val="both"/>
      </w:pPr>
      <w:r>
        <w:rPr>
          <w:rStyle w:val="CharStyle16"/>
        </w:rPr>
        <w:t>Решение в полном объеме изготовлено 07.05.2025.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6"/>
        </w:rPr>
        <w:t>Комиссия Липецкого УФАС России по контролю в сфере закупок товаров, работ, услуг для обеспечения государственных и муниципальных нужд на территории Липецкой области (далее – Комиссия; Комиссия Липецкого УФАС России) в составе: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6"/>
        </w:rPr>
        <w:t>председатель Комиссии: И.В. Поткина – руководитель управления,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6"/>
        </w:rPr>
        <w:t>заместитель председателя Комиссии: Т.Н. Ролдугина – начальник отдела контроля закупок и торгов,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6"/>
        </w:rPr>
        <w:t>член Комиссии: И.А. Иванова – ведущий специалист-эксперт отдела контроля закупок и торгов,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6"/>
        </w:rPr>
        <w:t>при участии посредством видеоконференцсвязи представителей: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62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rStyle w:val="CharStyle16"/>
        </w:rPr>
        <w:t>автономной некоммерческой организации в сфере поддержки отечественных производителей «Консорциум «Производители охранных, пожарных, СКУД систем безопасности» - А.С. Шаховой (по доверенности), М.П. Александровой (по доверенности),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58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rStyle w:val="CharStyle16"/>
        </w:rPr>
        <w:t>муниципального бюджетного дошкольного образовательного учреждения № 101 г. Липецка: С.А. Сутугиной (по доверенности),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62" w:val="left"/>
        </w:tabs>
        <w:bidi w:val="0"/>
        <w:spacing w:before="0" w:after="620" w:line="240" w:lineRule="auto"/>
        <w:ind w:left="0" w:right="0" w:firstLine="600"/>
        <w:jc w:val="both"/>
      </w:pPr>
      <w:r>
        <w:rPr>
          <w:rStyle w:val="CharStyle16"/>
        </w:rPr>
        <w:t>муниципального казенного учреждения «Управление муниципального заказа города Липецка»: Е.А. Черноусовой (начальник), О.Л. Дороховой (по доверенности), А.А. Воробьевой (по доверенности),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2" w:name="bookmark2"/>
      <w:r>
        <w:rPr>
          <w:rStyle w:val="CharStyle18"/>
        </w:rPr>
        <w:t>1IIIIIIIIIIIIIIIIIIIIIII</w:t>
      </w:r>
      <w:bookmarkEnd w:id="2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600"/>
        <w:jc w:val="both"/>
      </w:pPr>
      <w:r>
        <w:rPr>
          <w:rStyle w:val="CharStyle16"/>
        </w:rPr>
        <w:t xml:space="preserve">рассмотрев жалобу автономной некоммерческой организации в сфере поддержки отечественных производителей «Консорциум «Производители охранных, пожарных, СКУД систем безопасности» на положения извещения о проведении электронного аукциона на капитальный ремонт системы автоматической пожарной сигнализации в ДОУ </w:t>
      </w:r>
      <w:r>
        <w:rPr>
          <w:rStyle w:val="CharStyle16"/>
          <w:lang w:val="en-US" w:eastAsia="en-US"/>
        </w:rPr>
        <w:t xml:space="preserve">№ 101 </w:t>
      </w:r>
      <w:r>
        <w:rPr>
          <w:rStyle w:val="CharStyle16"/>
        </w:rPr>
        <w:t xml:space="preserve">г. Липецка по адресу: г.Липецк, </w:t>
      </w:r>
      <w:r>
        <w:rPr>
          <w:rStyle w:val="CharStyle16"/>
          <w:lang w:val="en-US" w:eastAsia="en-US"/>
        </w:rPr>
        <w:t xml:space="preserve">15 </w:t>
      </w:r>
      <w:r>
        <w:rPr>
          <w:rStyle w:val="CharStyle16"/>
        </w:rPr>
        <w:t xml:space="preserve">микрорайон, д.20 (реестровый номер </w:t>
      </w:r>
      <w:r>
        <w:rPr>
          <w:rStyle w:val="CharStyle16"/>
          <w:lang w:val="en-US" w:eastAsia="en-US"/>
        </w:rPr>
        <w:t xml:space="preserve">0846600002125000267) </w:t>
      </w:r>
      <w:r>
        <w:rPr>
          <w:rStyle w:val="CharStyle16"/>
        </w:rPr>
        <w:t xml:space="preserve">(далее </w:t>
      </w:r>
      <w:r>
        <w:rPr>
          <w:rStyle w:val="CharStyle16"/>
          <w:lang w:val="en-US" w:eastAsia="en-US"/>
        </w:rPr>
        <w:t xml:space="preserve">– </w:t>
      </w:r>
      <w:r>
        <w:rPr>
          <w:rStyle w:val="CharStyle16"/>
        </w:rPr>
        <w:t xml:space="preserve">электронный аукцион; закупка), а также другие документы (копии), представленные сторонами, проведя внеплановую проверку в соответствии со статьей </w:t>
      </w:r>
      <w:r>
        <w:rPr>
          <w:rStyle w:val="CharStyle16"/>
          <w:lang w:val="en-US" w:eastAsia="en-US"/>
        </w:rPr>
        <w:t xml:space="preserve">99 </w:t>
      </w:r>
      <w:r>
        <w:rPr>
          <w:rStyle w:val="CharStyle16"/>
        </w:rPr>
        <w:t xml:space="preserve">Федерального закона от </w:t>
      </w:r>
      <w:r>
        <w:rPr>
          <w:rStyle w:val="CharStyle16"/>
          <w:lang w:val="en-US" w:eastAsia="en-US"/>
        </w:rPr>
        <w:t xml:space="preserve">05.04.2013 </w:t>
      </w:r>
      <w:r>
        <w:rPr>
          <w:rStyle w:val="CharStyle16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6"/>
          <w:lang w:val="en-US" w:eastAsia="en-US"/>
        </w:rPr>
        <w:t xml:space="preserve">– </w:t>
      </w:r>
      <w:r>
        <w:rPr>
          <w:rStyle w:val="CharStyle16"/>
        </w:rPr>
        <w:t>Закон о контрактной системе) и на основании приказа Липецкого УФАС России,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6"/>
        </w:rPr>
        <w:t>У С Т А Н О В И Л А: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6"/>
        </w:rPr>
        <w:t xml:space="preserve">В Липецкое УФАС России поступила жалоба автономной некоммерческой организации в сфере поддержки отечественных производителей «Консорциум «Производители охранных, пожарных, СКУД систем безопасности» (далее </w:t>
      </w:r>
      <w:r>
        <w:rPr>
          <w:rStyle w:val="CharStyle16"/>
          <w:lang w:val="en-US" w:eastAsia="en-US"/>
        </w:rPr>
        <w:t xml:space="preserve">– </w:t>
      </w:r>
      <w:r>
        <w:rPr>
          <w:rStyle w:val="CharStyle16"/>
        </w:rPr>
        <w:t xml:space="preserve">заявитель) на положения извещения об осуществлении закупки (заказчик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 xml:space="preserve">муниципальное бюджетное дошкольное образовательное учреждение </w:t>
      </w:r>
      <w:r>
        <w:rPr>
          <w:rStyle w:val="CharStyle16"/>
          <w:lang w:val="en-US" w:eastAsia="en-US"/>
        </w:rPr>
        <w:t xml:space="preserve">№ 101 </w:t>
      </w:r>
      <w:r>
        <w:rPr>
          <w:rStyle w:val="CharStyle16"/>
        </w:rPr>
        <w:t xml:space="preserve">г. Липецка уполномоченное учреждение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>муниципальное казенное учреждение «Управление муниципального заказа города Липецка»).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6"/>
        </w:rPr>
        <w:t xml:space="preserve">Жалоба подана в срок, установленный статьей </w:t>
      </w:r>
      <w:r>
        <w:rPr>
          <w:rStyle w:val="CharStyle16"/>
          <w:lang w:val="en-US" w:eastAsia="en-US"/>
        </w:rPr>
        <w:t xml:space="preserve">105 </w:t>
      </w:r>
      <w:r>
        <w:rPr>
          <w:rStyle w:val="CharStyle16"/>
        </w:rPr>
        <w:t>Закона о контрактной системе. В связи с этим, жалоба была принята Липецким УФАС России к рассмотрению. Сведения о времени и месте ее рассмотрения размещены Липецким УФАС России в ЕИС.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6"/>
        </w:rPr>
        <w:t xml:space="preserve">Представители заявителя поддержали доводы жалобы и указали, что в ходе исполнения контракта требуется осуществить поставку оборудования. Однако в отношении оборудования заказчиком не применены требования Постановления </w:t>
      </w:r>
      <w:r>
        <w:rPr>
          <w:rStyle w:val="CharStyle16"/>
          <w:lang w:val="en-US" w:eastAsia="en-US"/>
        </w:rPr>
        <w:t>№ 1875.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600"/>
        <w:jc w:val="both"/>
      </w:pPr>
      <w:r>
        <w:rPr>
          <w:rStyle w:val="CharStyle16"/>
        </w:rPr>
        <w:t>Представители уполномоченного учреждения и заказчика считают жалобу необоснованной. Заказчик не приобретает никакие товары в рамках электронного аукциона. Объектом закупки являются только работы.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6"/>
          <w:lang w:val="en-US" w:eastAsia="en-US"/>
        </w:rPr>
        <w:t xml:space="preserve">16.04.2025 </w:t>
      </w:r>
      <w:r>
        <w:rPr>
          <w:rStyle w:val="CharStyle16"/>
        </w:rPr>
        <w:t xml:space="preserve">в ЕИС размещено извещение об осуществлении закупки с предусмотренными ч.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ст. </w:t>
      </w:r>
      <w:r>
        <w:rPr>
          <w:rStyle w:val="CharStyle16"/>
          <w:lang w:val="en-US" w:eastAsia="en-US"/>
        </w:rPr>
        <w:t xml:space="preserve">42 </w:t>
      </w:r>
      <w:r>
        <w:rPr>
          <w:rStyle w:val="CharStyle16"/>
        </w:rPr>
        <w:t>Закона о контрактной системе приложениями.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6"/>
        </w:rPr>
        <w:t xml:space="preserve">Начальная (максимальная) цена контракта </w:t>
      </w:r>
      <w:r>
        <w:rPr>
          <w:rStyle w:val="CharStyle16"/>
          <w:lang w:val="en-US" w:eastAsia="en-US"/>
        </w:rPr>
        <w:t xml:space="preserve">– 2 850 133,00 </w:t>
      </w:r>
      <w:r>
        <w:rPr>
          <w:rStyle w:val="CharStyle16"/>
        </w:rPr>
        <w:t>рублей.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6"/>
        </w:rPr>
        <w:t xml:space="preserve">Объектом закупки является капитальный ремонт системы автоматической пожарной сигнализации в ДОУ </w:t>
      </w:r>
      <w:r>
        <w:rPr>
          <w:rStyle w:val="CharStyle16"/>
          <w:lang w:val="en-US" w:eastAsia="en-US"/>
        </w:rPr>
        <w:t xml:space="preserve">№ 101 </w:t>
      </w:r>
      <w:r>
        <w:rPr>
          <w:rStyle w:val="CharStyle16"/>
        </w:rPr>
        <w:t xml:space="preserve">г. Липецка по адресу: г.Липецк, </w:t>
      </w:r>
      <w:r>
        <w:rPr>
          <w:rStyle w:val="CharStyle16"/>
          <w:lang w:val="en-US" w:eastAsia="en-US"/>
        </w:rPr>
        <w:t xml:space="preserve">15 </w:t>
      </w:r>
      <w:r>
        <w:rPr>
          <w:rStyle w:val="CharStyle16"/>
        </w:rPr>
        <w:t>микрорайон, д.20.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6"/>
        </w:rPr>
        <w:t>Описание объекта закупки приведено в рабочей документации 89-18-ПС «Система пожарной сигнализации и система оповещения и управления эвакуацией людей при пожаре», ведомости объемов работ, техническом задании, локально-сметном расчете.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600"/>
        <w:jc w:val="both"/>
      </w:pPr>
      <w:r>
        <w:rPr>
          <w:rStyle w:val="CharStyle16"/>
        </w:rPr>
        <w:t>Также заказчиком приведены сведения о качестве, технических (функциональных) характеристиках материалов (изделий), используемых при выполнении закупаемых работ:</w:t>
      </w:r>
      <w:r>
        <w:br w:type="page"/>
      </w:r>
    </w:p>
    <w:tbl>
      <w:tblPr>
        <w:tblOverlap w:val="never"/>
        <w:jc w:val="center"/>
        <w:tblLayout w:type="fixed"/>
      </w:tblPr>
      <w:tblGrid>
        <w:gridCol w:w="725"/>
        <w:gridCol w:w="4469"/>
        <w:gridCol w:w="5299"/>
      </w:tblGrid>
      <w:tr>
        <w:trPr>
          <w:trHeight w:val="85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  <w:lang w:val="en-US" w:eastAsia="en-US"/>
              </w:rPr>
              <w:t xml:space="preserve">№ </w:t>
            </w:r>
            <w:r>
              <w:rPr>
                <w:rStyle w:val="CharStyle20"/>
                <w:sz w:val="24"/>
                <w:szCs w:val="24"/>
              </w:rPr>
              <w:t>п/п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</w:rPr>
              <w:t>Наименование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</w:rPr>
              <w:t>Характеристика</w:t>
            </w:r>
          </w:p>
        </w:tc>
      </w:tr>
      <w:tr>
        <w:trPr>
          <w:trHeight w:val="193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</w:rPr>
              <w:t>Контроллер радиоканальных устройств Панель-2 ПРО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</w:rPr>
              <w:t xml:space="preserve">Количество рабочих частотных каналов: не менее </w:t>
            </w:r>
            <w:r>
              <w:rPr>
                <w:rStyle w:val="CharStyle20"/>
                <w:sz w:val="24"/>
                <w:szCs w:val="24"/>
                <w:lang w:val="en-US" w:eastAsia="en-US"/>
              </w:rPr>
              <w:t>6.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</w:rPr>
              <w:t xml:space="preserve">Максимальная излучаемая мощность: не более </w:t>
            </w:r>
            <w:r>
              <w:rPr>
                <w:rStyle w:val="CharStyle20"/>
                <w:sz w:val="24"/>
                <w:szCs w:val="24"/>
                <w:lang w:val="en-US" w:eastAsia="en-US"/>
              </w:rPr>
              <w:t xml:space="preserve">25 </w:t>
            </w:r>
            <w:r>
              <w:rPr>
                <w:rStyle w:val="CharStyle20"/>
                <w:sz w:val="24"/>
                <w:szCs w:val="24"/>
              </w:rPr>
              <w:t>мВт.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</w:rPr>
              <w:t xml:space="preserve">Максимальное количество устройств на одном частотном канале в зоне взаимной радиовидимости: не менее </w:t>
            </w:r>
            <w:r>
              <w:rPr>
                <w:rStyle w:val="CharStyle20"/>
                <w:sz w:val="24"/>
                <w:szCs w:val="24"/>
                <w:lang w:val="en-US" w:eastAsia="en-US"/>
              </w:rPr>
              <w:t xml:space="preserve">2000 </w:t>
            </w:r>
            <w:r>
              <w:rPr>
                <w:rStyle w:val="CharStyle20"/>
                <w:sz w:val="24"/>
                <w:szCs w:val="24"/>
              </w:rPr>
              <w:t>шт.</w:t>
            </w:r>
          </w:p>
        </w:tc>
      </w:tr>
      <w:tr>
        <w:trPr>
          <w:trHeight w:val="111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</w:rPr>
              <w:t xml:space="preserve">Модуль трансивера </w:t>
            </w:r>
            <w:r>
              <w:rPr>
                <w:rStyle w:val="CharStyle20"/>
                <w:sz w:val="24"/>
                <w:szCs w:val="24"/>
                <w:lang w:val="en-US" w:eastAsia="en-US"/>
              </w:rPr>
              <w:t>LON(32)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</w:rPr>
              <w:t xml:space="preserve">Габаритные размеры: Длина: не менее </w:t>
            </w:r>
            <w:r>
              <w:rPr>
                <w:rStyle w:val="CharStyle20"/>
                <w:sz w:val="24"/>
                <w:szCs w:val="24"/>
                <w:lang w:val="en-US" w:eastAsia="en-US"/>
              </w:rPr>
              <w:t xml:space="preserve">29 </w:t>
            </w:r>
            <w:r>
              <w:rPr>
                <w:rStyle w:val="CharStyle20"/>
                <w:sz w:val="24"/>
                <w:szCs w:val="24"/>
              </w:rPr>
              <w:t xml:space="preserve">мм. Ширина: не менее </w:t>
            </w:r>
            <w:r>
              <w:rPr>
                <w:rStyle w:val="CharStyle20"/>
                <w:sz w:val="24"/>
                <w:szCs w:val="24"/>
                <w:lang w:val="en-US" w:eastAsia="en-US"/>
              </w:rPr>
              <w:t xml:space="preserve">48 </w:t>
            </w:r>
            <w:r>
              <w:rPr>
                <w:rStyle w:val="CharStyle20"/>
                <w:sz w:val="24"/>
                <w:szCs w:val="24"/>
              </w:rPr>
              <w:t xml:space="preserve">мм. Высота: не менее </w:t>
            </w:r>
            <w:r>
              <w:rPr>
                <w:rStyle w:val="CharStyle20"/>
                <w:sz w:val="24"/>
                <w:szCs w:val="24"/>
                <w:lang w:val="en-US" w:eastAsia="en-US"/>
              </w:rPr>
              <w:t xml:space="preserve">16 </w:t>
            </w:r>
            <w:r>
              <w:rPr>
                <w:rStyle w:val="CharStyle20"/>
                <w:sz w:val="24"/>
                <w:szCs w:val="24"/>
              </w:rPr>
              <w:t>мм.</w:t>
            </w:r>
          </w:p>
        </w:tc>
      </w:tr>
      <w:tr>
        <w:trPr>
          <w:trHeight w:val="166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  <w:lang w:val="en-US" w:eastAsia="en-US"/>
              </w:rPr>
              <w:t>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</w:rPr>
              <w:t>Оповещатель пожарный световой со встроенным радиорасширителем для радиоканальных устройств Табло-РР- ПРО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</w:rPr>
              <w:t xml:space="preserve">Количество уровней свечения: не менее </w:t>
            </w:r>
            <w:r>
              <w:rPr>
                <w:rStyle w:val="CharStyle20"/>
                <w:sz w:val="24"/>
                <w:szCs w:val="24"/>
                <w:lang w:val="en-US" w:eastAsia="en-US"/>
              </w:rPr>
              <w:t>4.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</w:rPr>
              <w:t>Габаритные размеры: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</w:rPr>
              <w:t xml:space="preserve">Длина: не менее </w:t>
            </w:r>
            <w:r>
              <w:rPr>
                <w:rStyle w:val="CharStyle20"/>
                <w:sz w:val="24"/>
                <w:szCs w:val="24"/>
                <w:lang w:val="en-US" w:eastAsia="en-US"/>
              </w:rPr>
              <w:t xml:space="preserve">320 </w:t>
            </w:r>
            <w:r>
              <w:rPr>
                <w:rStyle w:val="CharStyle20"/>
                <w:sz w:val="24"/>
                <w:szCs w:val="24"/>
              </w:rPr>
              <w:t>мм.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</w:rPr>
              <w:t xml:space="preserve">Ширина: не менее </w:t>
            </w:r>
            <w:r>
              <w:rPr>
                <w:rStyle w:val="CharStyle20"/>
                <w:sz w:val="24"/>
                <w:szCs w:val="24"/>
                <w:lang w:val="en-US" w:eastAsia="en-US"/>
              </w:rPr>
              <w:t xml:space="preserve">48 </w:t>
            </w:r>
            <w:r>
              <w:rPr>
                <w:rStyle w:val="CharStyle20"/>
                <w:sz w:val="24"/>
                <w:szCs w:val="24"/>
              </w:rPr>
              <w:t>мм.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</w:rPr>
              <w:t xml:space="preserve">Высота: не менее </w:t>
            </w:r>
            <w:r>
              <w:rPr>
                <w:rStyle w:val="CharStyle20"/>
                <w:sz w:val="24"/>
                <w:szCs w:val="24"/>
                <w:lang w:val="en-US" w:eastAsia="en-US"/>
              </w:rPr>
              <w:t xml:space="preserve">16 </w:t>
            </w:r>
            <w:r>
              <w:rPr>
                <w:rStyle w:val="CharStyle20"/>
                <w:sz w:val="24"/>
                <w:szCs w:val="24"/>
              </w:rPr>
              <w:t>мм.</w:t>
            </w:r>
          </w:p>
        </w:tc>
      </w:tr>
      <w:tr>
        <w:trPr>
          <w:trHeight w:val="138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  <w:lang w:val="en-US" w:eastAsia="en-US"/>
              </w:rPr>
              <w:t>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</w:rPr>
              <w:t>Блок управления БУ32-И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</w:rPr>
              <w:t xml:space="preserve">Количество кнопок: не менее </w:t>
            </w:r>
            <w:r>
              <w:rPr>
                <w:rStyle w:val="CharStyle20"/>
                <w:sz w:val="24"/>
                <w:szCs w:val="24"/>
                <w:lang w:val="en-US" w:eastAsia="en-US"/>
              </w:rPr>
              <w:t>32.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</w:rPr>
              <w:t>Цвета адресных индикаторов: красный, зеленый, желтый и (или) их оттенки.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</w:rPr>
              <w:t xml:space="preserve">Количество статусных индикаторов: не менее </w:t>
            </w:r>
            <w:r>
              <w:rPr>
                <w:rStyle w:val="CharStyle20"/>
                <w:sz w:val="24"/>
                <w:szCs w:val="24"/>
                <w:lang w:val="en-US" w:eastAsia="en-US"/>
              </w:rPr>
              <w:t>8.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</w:rPr>
              <w:t xml:space="preserve">Степень защиты: не менее </w:t>
            </w:r>
            <w:r>
              <w:rPr>
                <w:rStyle w:val="CharStyle20"/>
                <w:sz w:val="24"/>
                <w:szCs w:val="24"/>
                <w:lang w:val="en-US" w:eastAsia="en-US"/>
              </w:rPr>
              <w:t>IP41.</w:t>
            </w:r>
          </w:p>
        </w:tc>
      </w:tr>
      <w:tr>
        <w:trPr>
          <w:trHeight w:val="249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  <w:lang w:val="en-US" w:eastAsia="en-US"/>
              </w:rPr>
              <w:t>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</w:rPr>
              <w:t>Извещатель пожарный дымовой радиоканальный Аврора-Д-ПРО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</w:rPr>
              <w:t>Габаритные размеры: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</w:rPr>
              <w:t xml:space="preserve">Диаметр: не менее </w:t>
            </w:r>
            <w:r>
              <w:rPr>
                <w:rStyle w:val="CharStyle20"/>
                <w:sz w:val="24"/>
                <w:szCs w:val="24"/>
                <w:lang w:val="en-US" w:eastAsia="en-US"/>
              </w:rPr>
              <w:t xml:space="preserve">111 </w:t>
            </w:r>
            <w:r>
              <w:rPr>
                <w:rStyle w:val="CharStyle20"/>
                <w:sz w:val="24"/>
                <w:szCs w:val="24"/>
              </w:rPr>
              <w:t>мм.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</w:rPr>
              <w:t xml:space="preserve">Высота: не менее </w:t>
            </w:r>
            <w:r>
              <w:rPr>
                <w:rStyle w:val="CharStyle20"/>
                <w:sz w:val="24"/>
                <w:szCs w:val="24"/>
                <w:lang w:val="en-US" w:eastAsia="en-US"/>
              </w:rPr>
              <w:t xml:space="preserve">52 </w:t>
            </w:r>
            <w:r>
              <w:rPr>
                <w:rStyle w:val="CharStyle20"/>
                <w:sz w:val="24"/>
                <w:szCs w:val="24"/>
              </w:rPr>
              <w:t>мм.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</w:rPr>
              <w:t xml:space="preserve">Максимальная излучаемая мощность: не более </w:t>
            </w:r>
            <w:r>
              <w:rPr>
                <w:rStyle w:val="CharStyle20"/>
                <w:sz w:val="24"/>
                <w:szCs w:val="24"/>
                <w:lang w:val="en-US" w:eastAsia="en-US"/>
              </w:rPr>
              <w:t xml:space="preserve">25 </w:t>
            </w:r>
            <w:r>
              <w:rPr>
                <w:rStyle w:val="CharStyle20"/>
                <w:sz w:val="24"/>
                <w:szCs w:val="24"/>
              </w:rPr>
              <w:t>мВт.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</w:rPr>
              <w:t xml:space="preserve">Количество рабочих частотных каналов: не менее </w:t>
            </w:r>
            <w:r>
              <w:rPr>
                <w:rStyle w:val="CharStyle20"/>
                <w:sz w:val="24"/>
                <w:szCs w:val="24"/>
                <w:lang w:val="en-US" w:eastAsia="en-US"/>
              </w:rPr>
              <w:t>6.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</w:rPr>
              <w:t xml:space="preserve">Дальность радиосвязи (в прямой видимости): не менее </w:t>
            </w:r>
            <w:r>
              <w:rPr>
                <w:rStyle w:val="CharStyle20"/>
                <w:sz w:val="24"/>
                <w:szCs w:val="24"/>
                <w:lang w:val="en-US" w:eastAsia="en-US"/>
              </w:rPr>
              <w:t xml:space="preserve">1200 </w:t>
            </w:r>
            <w:r>
              <w:rPr>
                <w:rStyle w:val="CharStyle20"/>
                <w:sz w:val="24"/>
                <w:szCs w:val="24"/>
              </w:rPr>
              <w:t>м.</w:t>
            </w:r>
          </w:p>
        </w:tc>
      </w:tr>
      <w:tr>
        <w:trPr>
          <w:trHeight w:val="249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</w:rPr>
              <w:t>Извещатель пожарный комбинированный радиоканальный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</w:rPr>
              <w:t>Аврора-ДТ-ПРО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</w:rPr>
              <w:t>Габаритные размеры: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</w:rPr>
              <w:t xml:space="preserve">Диаметр: не менее </w:t>
            </w:r>
            <w:r>
              <w:rPr>
                <w:rStyle w:val="CharStyle20"/>
                <w:sz w:val="24"/>
                <w:szCs w:val="24"/>
                <w:lang w:val="en-US" w:eastAsia="en-US"/>
              </w:rPr>
              <w:t xml:space="preserve">111 </w:t>
            </w:r>
            <w:r>
              <w:rPr>
                <w:rStyle w:val="CharStyle20"/>
                <w:sz w:val="24"/>
                <w:szCs w:val="24"/>
              </w:rPr>
              <w:t>мм.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</w:rPr>
              <w:t xml:space="preserve">Высота: не менее </w:t>
            </w:r>
            <w:r>
              <w:rPr>
                <w:rStyle w:val="CharStyle20"/>
                <w:sz w:val="24"/>
                <w:szCs w:val="24"/>
                <w:lang w:val="en-US" w:eastAsia="en-US"/>
              </w:rPr>
              <w:t xml:space="preserve">62 </w:t>
            </w:r>
            <w:r>
              <w:rPr>
                <w:rStyle w:val="CharStyle20"/>
                <w:sz w:val="24"/>
                <w:szCs w:val="24"/>
              </w:rPr>
              <w:t>мм.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</w:rPr>
              <w:t xml:space="preserve">Максимальная излучаемая мощность: не более </w:t>
            </w:r>
            <w:r>
              <w:rPr>
                <w:rStyle w:val="CharStyle20"/>
                <w:sz w:val="24"/>
                <w:szCs w:val="24"/>
                <w:lang w:val="en-US" w:eastAsia="en-US"/>
              </w:rPr>
              <w:t xml:space="preserve">25 </w:t>
            </w:r>
            <w:r>
              <w:rPr>
                <w:rStyle w:val="CharStyle20"/>
                <w:sz w:val="24"/>
                <w:szCs w:val="24"/>
              </w:rPr>
              <w:t>мВт.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</w:rPr>
              <w:t xml:space="preserve">Количество рабочих частотных каналов: не менее </w:t>
            </w:r>
            <w:r>
              <w:rPr>
                <w:rStyle w:val="CharStyle20"/>
                <w:sz w:val="24"/>
                <w:szCs w:val="24"/>
                <w:lang w:val="en-US" w:eastAsia="en-US"/>
              </w:rPr>
              <w:t>6.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</w:rPr>
              <w:t xml:space="preserve">Дальность радиосвязи (в прямой видимости): не менее </w:t>
            </w:r>
            <w:r>
              <w:rPr>
                <w:rStyle w:val="CharStyle20"/>
                <w:sz w:val="24"/>
                <w:szCs w:val="24"/>
                <w:lang w:val="en-US" w:eastAsia="en-US"/>
              </w:rPr>
              <w:t xml:space="preserve">1200 </w:t>
            </w:r>
            <w:r>
              <w:rPr>
                <w:rStyle w:val="CharStyle20"/>
                <w:sz w:val="24"/>
                <w:szCs w:val="24"/>
              </w:rPr>
              <w:t>м.</w:t>
            </w:r>
          </w:p>
        </w:tc>
      </w:tr>
      <w:tr>
        <w:trPr>
          <w:trHeight w:val="138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  <w:lang w:val="en-US" w:eastAsia="en-US"/>
              </w:rPr>
              <w:t>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</w:rPr>
              <w:t>Извещатель пожарный радиоканальный дымовой с функцией звукового оповещения Аврора-ДС-ПРО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</w:rPr>
              <w:t>Дальность связи с ПКУ (открытое пространство) не менее 1200м;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</w:rPr>
              <w:t>Габаритные размеры: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</w:rPr>
              <w:t xml:space="preserve">Диаметр не менее </w:t>
            </w:r>
            <w:r>
              <w:rPr>
                <w:rStyle w:val="CharStyle20"/>
                <w:sz w:val="24"/>
                <w:szCs w:val="24"/>
                <w:lang w:val="en-US" w:eastAsia="en-US"/>
              </w:rPr>
              <w:t xml:space="preserve">111 </w:t>
            </w:r>
            <w:r>
              <w:rPr>
                <w:rStyle w:val="CharStyle20"/>
                <w:sz w:val="24"/>
                <w:szCs w:val="24"/>
              </w:rPr>
              <w:t>мм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</w:rPr>
              <w:t xml:space="preserve">Высота не менее </w:t>
            </w:r>
            <w:r>
              <w:rPr>
                <w:rStyle w:val="CharStyle20"/>
                <w:sz w:val="24"/>
                <w:szCs w:val="24"/>
                <w:lang w:val="en-US" w:eastAsia="en-US"/>
              </w:rPr>
              <w:t xml:space="preserve">64 </w:t>
            </w:r>
            <w:r>
              <w:rPr>
                <w:rStyle w:val="CharStyle20"/>
                <w:sz w:val="24"/>
                <w:szCs w:val="24"/>
              </w:rPr>
              <w:t>мм</w:t>
            </w:r>
          </w:p>
        </w:tc>
      </w:tr>
      <w:tr>
        <w:trPr>
          <w:trHeight w:val="1118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  <w:lang w:val="en-US" w:eastAsia="en-US"/>
              </w:rPr>
              <w:t>7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</w:rPr>
              <w:t>Извещатель пожарный радиоканальный ручной ИПР-ПРО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</w:rPr>
              <w:t xml:space="preserve">Габаритные размеры: Длина: не менее </w:t>
            </w:r>
            <w:r>
              <w:rPr>
                <w:rStyle w:val="CharStyle20"/>
                <w:sz w:val="24"/>
                <w:szCs w:val="24"/>
                <w:lang w:val="en-US" w:eastAsia="en-US"/>
              </w:rPr>
              <w:t xml:space="preserve">105 </w:t>
            </w:r>
            <w:r>
              <w:rPr>
                <w:rStyle w:val="CharStyle20"/>
                <w:sz w:val="24"/>
                <w:szCs w:val="24"/>
              </w:rPr>
              <w:t xml:space="preserve">мм. Ширина: не менее </w:t>
            </w:r>
            <w:r>
              <w:rPr>
                <w:rStyle w:val="CharStyle20"/>
                <w:sz w:val="24"/>
                <w:szCs w:val="24"/>
                <w:lang w:val="en-US" w:eastAsia="en-US"/>
              </w:rPr>
              <w:t xml:space="preserve">100 </w:t>
            </w:r>
            <w:r>
              <w:rPr>
                <w:rStyle w:val="CharStyle20"/>
                <w:sz w:val="24"/>
                <w:szCs w:val="24"/>
              </w:rPr>
              <w:t xml:space="preserve">мм. Высота: не менее </w:t>
            </w:r>
            <w:r>
              <w:rPr>
                <w:rStyle w:val="CharStyle20"/>
                <w:sz w:val="24"/>
                <w:szCs w:val="24"/>
                <w:lang w:val="en-US" w:eastAsia="en-US"/>
              </w:rPr>
              <w:t xml:space="preserve">45 </w:t>
            </w:r>
            <w:r>
              <w:rPr>
                <w:rStyle w:val="CharStyle20"/>
                <w:sz w:val="24"/>
                <w:szCs w:val="24"/>
              </w:rPr>
              <w:t>мм.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725"/>
        <w:gridCol w:w="4469"/>
        <w:gridCol w:w="5299"/>
      </w:tblGrid>
      <w:tr>
        <w:trPr>
          <w:trHeight w:val="56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</w:rPr>
              <w:t xml:space="preserve">Степень защиты: не менее </w:t>
            </w:r>
            <w:r>
              <w:rPr>
                <w:rStyle w:val="CharStyle20"/>
                <w:sz w:val="24"/>
                <w:szCs w:val="24"/>
                <w:lang w:val="en-US" w:eastAsia="en-US"/>
              </w:rPr>
              <w:t>IP 66.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</w:rPr>
              <w:t xml:space="preserve">Масса: не более </w:t>
            </w:r>
            <w:r>
              <w:rPr>
                <w:rStyle w:val="CharStyle20"/>
                <w:sz w:val="24"/>
                <w:szCs w:val="24"/>
                <w:lang w:val="en-US" w:eastAsia="en-US"/>
              </w:rPr>
              <w:t xml:space="preserve">0,2 </w:t>
            </w:r>
            <w:r>
              <w:rPr>
                <w:rStyle w:val="CharStyle20"/>
                <w:sz w:val="24"/>
                <w:szCs w:val="24"/>
              </w:rPr>
              <w:t>кг.</w:t>
            </w:r>
          </w:p>
        </w:tc>
      </w:tr>
      <w:tr>
        <w:trPr>
          <w:trHeight w:val="249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  <w:lang w:val="en-US" w:eastAsia="en-US"/>
              </w:rPr>
              <w:t>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</w:rPr>
              <w:t>Оповещатель пожарный световой радиоканальный Табло-ПРО со встроенным АКБ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</w:rPr>
              <w:t>Тип: со встроенным АКБ.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</w:rPr>
              <w:t>Габаритные размеры: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</w:rPr>
              <w:t xml:space="preserve">Длина: не менее </w:t>
            </w:r>
            <w:r>
              <w:rPr>
                <w:rStyle w:val="CharStyle20"/>
                <w:sz w:val="24"/>
                <w:szCs w:val="24"/>
                <w:lang w:val="en-US" w:eastAsia="en-US"/>
              </w:rPr>
              <w:t xml:space="preserve">320 </w:t>
            </w:r>
            <w:r>
              <w:rPr>
                <w:rStyle w:val="CharStyle20"/>
                <w:sz w:val="24"/>
                <w:szCs w:val="24"/>
              </w:rPr>
              <w:t>мм.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</w:rPr>
              <w:t xml:space="preserve">Ширина: не менее </w:t>
            </w:r>
            <w:r>
              <w:rPr>
                <w:rStyle w:val="CharStyle20"/>
                <w:sz w:val="24"/>
                <w:szCs w:val="24"/>
                <w:lang w:val="en-US" w:eastAsia="en-US"/>
              </w:rPr>
              <w:t xml:space="preserve">125 </w:t>
            </w:r>
            <w:r>
              <w:rPr>
                <w:rStyle w:val="CharStyle20"/>
                <w:sz w:val="24"/>
                <w:szCs w:val="24"/>
              </w:rPr>
              <w:t>мм.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</w:rPr>
              <w:t xml:space="preserve">Высота: не менее </w:t>
            </w:r>
            <w:r>
              <w:rPr>
                <w:rStyle w:val="CharStyle20"/>
                <w:sz w:val="24"/>
                <w:szCs w:val="24"/>
                <w:lang w:val="en-US" w:eastAsia="en-US"/>
              </w:rPr>
              <w:t xml:space="preserve">65 </w:t>
            </w:r>
            <w:r>
              <w:rPr>
                <w:rStyle w:val="CharStyle20"/>
                <w:sz w:val="24"/>
                <w:szCs w:val="24"/>
              </w:rPr>
              <w:t>мм.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</w:rPr>
              <w:t xml:space="preserve">Степень защиты: не менее </w:t>
            </w:r>
            <w:r>
              <w:rPr>
                <w:rStyle w:val="CharStyle20"/>
                <w:sz w:val="24"/>
                <w:szCs w:val="24"/>
                <w:lang w:val="en-US" w:eastAsia="en-US"/>
              </w:rPr>
              <w:t>IP43.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</w:rPr>
              <w:t xml:space="preserve">Масса: не более </w:t>
            </w:r>
            <w:r>
              <w:rPr>
                <w:rStyle w:val="CharStyle20"/>
                <w:sz w:val="24"/>
                <w:szCs w:val="24"/>
                <w:lang w:val="en-US" w:eastAsia="en-US"/>
              </w:rPr>
              <w:t xml:space="preserve">0,55 </w:t>
            </w:r>
            <w:r>
              <w:rPr>
                <w:rStyle w:val="CharStyle20"/>
                <w:sz w:val="24"/>
                <w:szCs w:val="24"/>
              </w:rPr>
              <w:t>кг.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</w:rPr>
              <w:t xml:space="preserve">Количество рабочих частотных каналов: не менее </w:t>
            </w:r>
            <w:r>
              <w:rPr>
                <w:rStyle w:val="CharStyle20"/>
                <w:sz w:val="24"/>
                <w:szCs w:val="24"/>
                <w:lang w:val="en-US" w:eastAsia="en-US"/>
              </w:rPr>
              <w:t>6.</w:t>
            </w:r>
          </w:p>
        </w:tc>
      </w:tr>
      <w:tr>
        <w:trPr>
          <w:trHeight w:val="166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  <w:lang w:val="en-US" w:eastAsia="en-US"/>
              </w:rPr>
              <w:t>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</w:rPr>
              <w:t>Блок исполнительный радиоканальный ИБ-1-ПРО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</w:rPr>
              <w:t>Габаритные размеры: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</w:rPr>
              <w:t xml:space="preserve">Длина: не менее </w:t>
            </w:r>
            <w:r>
              <w:rPr>
                <w:rStyle w:val="CharStyle20"/>
                <w:sz w:val="24"/>
                <w:szCs w:val="24"/>
                <w:lang w:val="en-US" w:eastAsia="en-US"/>
              </w:rPr>
              <w:t xml:space="preserve">210 </w:t>
            </w:r>
            <w:r>
              <w:rPr>
                <w:rStyle w:val="CharStyle20"/>
                <w:sz w:val="24"/>
                <w:szCs w:val="24"/>
              </w:rPr>
              <w:t>мм.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</w:rPr>
              <w:t xml:space="preserve">Ширина: не менее </w:t>
            </w:r>
            <w:r>
              <w:rPr>
                <w:rStyle w:val="CharStyle20"/>
                <w:sz w:val="24"/>
                <w:szCs w:val="24"/>
                <w:lang w:val="en-US" w:eastAsia="en-US"/>
              </w:rPr>
              <w:t xml:space="preserve">143 </w:t>
            </w:r>
            <w:r>
              <w:rPr>
                <w:rStyle w:val="CharStyle20"/>
                <w:sz w:val="24"/>
                <w:szCs w:val="24"/>
              </w:rPr>
              <w:t>мм.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</w:rPr>
              <w:t xml:space="preserve">Высота: не менее </w:t>
            </w:r>
            <w:r>
              <w:rPr>
                <w:rStyle w:val="CharStyle20"/>
                <w:sz w:val="24"/>
                <w:szCs w:val="24"/>
                <w:lang w:val="en-US" w:eastAsia="en-US"/>
              </w:rPr>
              <w:t xml:space="preserve">34 </w:t>
            </w:r>
            <w:r>
              <w:rPr>
                <w:rStyle w:val="CharStyle20"/>
                <w:sz w:val="24"/>
                <w:szCs w:val="24"/>
              </w:rPr>
              <w:t>мм.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</w:rPr>
              <w:t xml:space="preserve">Дальность радиосвязи (в прямой видимости): не менее </w:t>
            </w:r>
            <w:r>
              <w:rPr>
                <w:rStyle w:val="CharStyle20"/>
                <w:sz w:val="24"/>
                <w:szCs w:val="24"/>
                <w:lang w:val="en-US" w:eastAsia="en-US"/>
              </w:rPr>
              <w:t xml:space="preserve">1200 </w:t>
            </w:r>
            <w:r>
              <w:rPr>
                <w:rStyle w:val="CharStyle20"/>
                <w:sz w:val="24"/>
                <w:szCs w:val="24"/>
              </w:rPr>
              <w:t>м.</w:t>
            </w:r>
          </w:p>
        </w:tc>
      </w:tr>
      <w:tr>
        <w:trPr>
          <w:trHeight w:val="249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  <w:lang w:val="en-US" w:eastAsia="en-US"/>
              </w:rPr>
              <w:t>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</w:rPr>
              <w:t>Источник бесперебойного питания резервированный Скат-1200И7 исп.5000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</w:rPr>
              <w:t>Габаритные размеры: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</w:rPr>
              <w:t xml:space="preserve">Глубина: не более </w:t>
            </w:r>
            <w:r>
              <w:rPr>
                <w:rStyle w:val="CharStyle20"/>
                <w:sz w:val="24"/>
                <w:szCs w:val="24"/>
                <w:lang w:val="en-US" w:eastAsia="en-US"/>
              </w:rPr>
              <w:t xml:space="preserve">193 </w:t>
            </w:r>
            <w:r>
              <w:rPr>
                <w:rStyle w:val="CharStyle20"/>
                <w:sz w:val="24"/>
                <w:szCs w:val="24"/>
              </w:rPr>
              <w:t>мм.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</w:rPr>
              <w:t xml:space="preserve">Ширина: не более </w:t>
            </w:r>
            <w:r>
              <w:rPr>
                <w:rStyle w:val="CharStyle20"/>
                <w:sz w:val="24"/>
                <w:szCs w:val="24"/>
                <w:lang w:val="en-US" w:eastAsia="en-US"/>
              </w:rPr>
              <w:t xml:space="preserve">445 </w:t>
            </w:r>
            <w:r>
              <w:rPr>
                <w:rStyle w:val="CharStyle20"/>
                <w:sz w:val="24"/>
                <w:szCs w:val="24"/>
              </w:rPr>
              <w:t>мм.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</w:rPr>
              <w:t xml:space="preserve">Высота: не более </w:t>
            </w:r>
            <w:r>
              <w:rPr>
                <w:rStyle w:val="CharStyle20"/>
                <w:sz w:val="24"/>
                <w:szCs w:val="24"/>
                <w:lang w:val="en-US" w:eastAsia="en-US"/>
              </w:rPr>
              <w:t xml:space="preserve">238 </w:t>
            </w:r>
            <w:r>
              <w:rPr>
                <w:rStyle w:val="CharStyle20"/>
                <w:sz w:val="24"/>
                <w:szCs w:val="24"/>
              </w:rPr>
              <w:t>мм.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</w:rPr>
              <w:t>Максимальный ток нагрузки в режиме «основной» не более 5А;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</w:rPr>
              <w:t>Напряжение питающей сети не более 250В;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</w:rPr>
              <w:t>Максимальная мощность, потребляемая от сети переменного тока не более 120В.</w:t>
            </w:r>
          </w:p>
        </w:tc>
      </w:tr>
      <w:tr>
        <w:trPr>
          <w:trHeight w:val="139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  <w:lang w:val="en-US" w:eastAsia="en-US"/>
              </w:rPr>
              <w:t>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</w:rPr>
              <w:t>Источник бесперебойного питания резервированный Скат-1200И7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</w:rPr>
              <w:t>Габаритные размеры: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</w:rPr>
              <w:t xml:space="preserve">Ширина: не более </w:t>
            </w:r>
            <w:r>
              <w:rPr>
                <w:rStyle w:val="CharStyle20"/>
                <w:sz w:val="24"/>
                <w:szCs w:val="24"/>
                <w:lang w:val="en-US" w:eastAsia="en-US"/>
              </w:rPr>
              <w:t xml:space="preserve">333 </w:t>
            </w:r>
            <w:r>
              <w:rPr>
                <w:rStyle w:val="CharStyle20"/>
                <w:sz w:val="24"/>
                <w:szCs w:val="24"/>
              </w:rPr>
              <w:t>мм.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</w:rPr>
              <w:t xml:space="preserve">Глубина: не более </w:t>
            </w:r>
            <w:r>
              <w:rPr>
                <w:rStyle w:val="CharStyle20"/>
                <w:sz w:val="24"/>
                <w:szCs w:val="24"/>
                <w:lang w:val="en-US" w:eastAsia="en-US"/>
              </w:rPr>
              <w:t xml:space="preserve">240 </w:t>
            </w:r>
            <w:r>
              <w:rPr>
                <w:rStyle w:val="CharStyle20"/>
                <w:sz w:val="24"/>
                <w:szCs w:val="24"/>
              </w:rPr>
              <w:t>мм.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</w:rPr>
              <w:t xml:space="preserve">Высота: не более </w:t>
            </w:r>
            <w:r>
              <w:rPr>
                <w:rStyle w:val="CharStyle20"/>
                <w:sz w:val="24"/>
                <w:szCs w:val="24"/>
                <w:lang w:val="en-US" w:eastAsia="en-US"/>
              </w:rPr>
              <w:t xml:space="preserve">134 </w:t>
            </w:r>
            <w:r>
              <w:rPr>
                <w:rStyle w:val="CharStyle20"/>
                <w:sz w:val="24"/>
                <w:szCs w:val="24"/>
              </w:rPr>
              <w:t>мм.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</w:rPr>
              <w:t xml:space="preserve">Степень защиты оболочкой: не менее </w:t>
            </w:r>
            <w:r>
              <w:rPr>
                <w:rStyle w:val="CharStyle20"/>
                <w:sz w:val="24"/>
                <w:szCs w:val="24"/>
                <w:lang w:val="en-US" w:eastAsia="en-US"/>
              </w:rPr>
              <w:t>IP20.</w:t>
            </w:r>
          </w:p>
        </w:tc>
      </w:tr>
      <w:tr>
        <w:trPr>
          <w:trHeight w:val="166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  <w:lang w:val="en-US" w:eastAsia="en-US"/>
              </w:rPr>
              <w:t>12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</w:rPr>
              <w:t xml:space="preserve">Настенная система </w:t>
            </w:r>
            <w:r>
              <w:rPr>
                <w:rStyle w:val="CharStyle20"/>
                <w:sz w:val="24"/>
                <w:szCs w:val="24"/>
                <w:lang w:val="en-US" w:eastAsia="en-US"/>
              </w:rPr>
              <w:t>LPA-MINI300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</w:rPr>
              <w:t>Габаритные размеры: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</w:rPr>
              <w:t xml:space="preserve">Длина: не менее </w:t>
            </w:r>
            <w:r>
              <w:rPr>
                <w:rStyle w:val="CharStyle20"/>
                <w:sz w:val="24"/>
                <w:szCs w:val="24"/>
                <w:lang w:val="en-US" w:eastAsia="en-US"/>
              </w:rPr>
              <w:t xml:space="preserve">425 </w:t>
            </w:r>
            <w:r>
              <w:rPr>
                <w:rStyle w:val="CharStyle20"/>
                <w:sz w:val="24"/>
                <w:szCs w:val="24"/>
              </w:rPr>
              <w:t>мм.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</w:rPr>
              <w:t xml:space="preserve">Ширина: не менее </w:t>
            </w:r>
            <w:r>
              <w:rPr>
                <w:rStyle w:val="CharStyle20"/>
                <w:sz w:val="24"/>
                <w:szCs w:val="24"/>
                <w:lang w:val="en-US" w:eastAsia="en-US"/>
              </w:rPr>
              <w:t xml:space="preserve">380 </w:t>
            </w:r>
            <w:r>
              <w:rPr>
                <w:rStyle w:val="CharStyle20"/>
                <w:sz w:val="24"/>
                <w:szCs w:val="24"/>
              </w:rPr>
              <w:t>мм.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</w:rPr>
              <w:t xml:space="preserve">Высота: не менее </w:t>
            </w:r>
            <w:r>
              <w:rPr>
                <w:rStyle w:val="CharStyle20"/>
                <w:sz w:val="24"/>
                <w:szCs w:val="24"/>
                <w:lang w:val="en-US" w:eastAsia="en-US"/>
              </w:rPr>
              <w:t xml:space="preserve">86 </w:t>
            </w:r>
            <w:r>
              <w:rPr>
                <w:rStyle w:val="CharStyle20"/>
                <w:sz w:val="24"/>
                <w:szCs w:val="24"/>
              </w:rPr>
              <w:t>мм.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</w:rPr>
              <w:t>Масса: не более 7кг.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</w:rPr>
              <w:t xml:space="preserve">Выходная мощность: не менее </w:t>
            </w:r>
            <w:r>
              <w:rPr>
                <w:rStyle w:val="CharStyle20"/>
                <w:sz w:val="24"/>
                <w:szCs w:val="24"/>
                <w:lang w:val="en-US" w:eastAsia="en-US"/>
              </w:rPr>
              <w:t xml:space="preserve">300 </w:t>
            </w:r>
            <w:r>
              <w:rPr>
                <w:rStyle w:val="CharStyle20"/>
                <w:sz w:val="24"/>
                <w:szCs w:val="24"/>
              </w:rPr>
              <w:t>Вт.</w:t>
            </w:r>
          </w:p>
        </w:tc>
      </w:tr>
      <w:tr>
        <w:trPr>
          <w:trHeight w:val="1675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  <w:lang w:val="en-US" w:eastAsia="en-US"/>
              </w:rPr>
              <w:t>13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</w:rPr>
              <w:t xml:space="preserve">Громкоговоритель настенный </w:t>
            </w:r>
            <w:r>
              <w:rPr>
                <w:rStyle w:val="CharStyle20"/>
                <w:sz w:val="24"/>
                <w:szCs w:val="24"/>
                <w:lang w:val="en-US" w:eastAsia="en-US"/>
              </w:rPr>
              <w:t>LPA-05W3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0"/>
                <w:sz w:val="24"/>
                <w:szCs w:val="24"/>
              </w:rPr>
              <w:t xml:space="preserve">Габаритные размеры: Длина: не менее </w:t>
            </w:r>
            <w:r>
              <w:rPr>
                <w:rStyle w:val="CharStyle20"/>
                <w:sz w:val="24"/>
                <w:szCs w:val="24"/>
                <w:lang w:val="en-US" w:eastAsia="en-US"/>
              </w:rPr>
              <w:t xml:space="preserve">120 </w:t>
            </w:r>
            <w:r>
              <w:rPr>
                <w:rStyle w:val="CharStyle20"/>
                <w:sz w:val="24"/>
                <w:szCs w:val="24"/>
              </w:rPr>
              <w:t xml:space="preserve">мм. Ширина: не менее </w:t>
            </w:r>
            <w:r>
              <w:rPr>
                <w:rStyle w:val="CharStyle20"/>
                <w:sz w:val="24"/>
                <w:szCs w:val="24"/>
                <w:lang w:val="en-US" w:eastAsia="en-US"/>
              </w:rPr>
              <w:t xml:space="preserve">120 </w:t>
            </w:r>
            <w:r>
              <w:rPr>
                <w:rStyle w:val="CharStyle20"/>
                <w:sz w:val="24"/>
                <w:szCs w:val="24"/>
              </w:rPr>
              <w:t xml:space="preserve">мм. Высота: не менее </w:t>
            </w:r>
            <w:r>
              <w:rPr>
                <w:rStyle w:val="CharStyle20"/>
                <w:sz w:val="24"/>
                <w:szCs w:val="24"/>
                <w:lang w:val="en-US" w:eastAsia="en-US"/>
              </w:rPr>
              <w:t xml:space="preserve">58 </w:t>
            </w:r>
            <w:r>
              <w:rPr>
                <w:rStyle w:val="CharStyle20"/>
                <w:sz w:val="24"/>
                <w:szCs w:val="24"/>
              </w:rPr>
              <w:t xml:space="preserve">мм. Масса: не более </w:t>
            </w:r>
            <w:r>
              <w:rPr>
                <w:rStyle w:val="CharStyle20"/>
                <w:sz w:val="24"/>
                <w:szCs w:val="24"/>
                <w:lang w:val="en-US" w:eastAsia="en-US"/>
              </w:rPr>
              <w:t xml:space="preserve">0,35 </w:t>
            </w:r>
            <w:r>
              <w:rPr>
                <w:rStyle w:val="CharStyle20"/>
                <w:sz w:val="24"/>
                <w:szCs w:val="24"/>
              </w:rPr>
              <w:t xml:space="preserve">кг. Класс защиты: не менее </w:t>
            </w:r>
            <w:r>
              <w:rPr>
                <w:rStyle w:val="CharStyle20"/>
                <w:sz w:val="24"/>
                <w:szCs w:val="24"/>
                <w:lang w:val="en-US" w:eastAsia="en-US"/>
              </w:rPr>
              <w:t>IP41.</w:t>
            </w:r>
          </w:p>
        </w:tc>
      </w:tr>
    </w:tbl>
    <w:p>
      <w:pPr>
        <w:widowControl w:val="0"/>
        <w:spacing w:after="259" w:line="1" w:lineRule="exact"/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0" w:right="0" w:firstLine="560"/>
        <w:jc w:val="both"/>
      </w:pPr>
      <w:r>
        <w:rPr>
          <w:rStyle w:val="CharStyle16"/>
        </w:rPr>
        <w:t>При этом указано, что выполняемые работы, используемые материалы оборудование, изделия, иные предметы должны соответствовать проектной документации</w:t>
      </w:r>
      <w:r>
        <w:rPr>
          <w:rStyle w:val="CharStyle16"/>
          <w:i/>
          <w:iCs/>
        </w:rPr>
        <w:t>,</w:t>
      </w:r>
      <w:r>
        <w:rPr>
          <w:rStyle w:val="CharStyle16"/>
        </w:rPr>
        <w:t xml:space="preserve"> локально-сметному расчету и настоящему техническому заданию. Согласно проектной документации применяется адресная система пожарной сигнализации. В случае замены материалов или оборудования на «эквивалент» Подрядчик вносит изменения в проектную документацию. Затраты по корректировке проектно-сметной документации возложены на Подрядчика. Материалы (изделия)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>которые используются при выполнении работ должны быть новыми (не были в употреблении, в ремонте, в том числе не были восстановлены, у которых не была осуществлена замена составных частей, не были восстановлены потребительские свойства).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>Проект контракта содержит следующие обязанности подрядчика:</w:t>
      </w:r>
    </w:p>
    <w:p>
      <w:pPr>
        <w:pStyle w:val="Style15"/>
        <w:keepNext w:val="0"/>
        <w:keepLines w:val="0"/>
        <w:widowControl w:val="0"/>
        <w:numPr>
          <w:ilvl w:val="1"/>
          <w:numId w:val="3"/>
        </w:numPr>
        <w:shd w:val="clear" w:color="auto" w:fill="auto"/>
        <w:tabs>
          <w:tab w:pos="1114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>Подрядчик самостоятельно приобретает, поставляет на объект необходимые товары, используемые при выполнении работ, осуществляет их приемку, разгрузку складирование и хранение в период производства работ. При производстве работ Подрядчик использует автономный источник энергии (электрогенератор), воду привозную или использует энергоресурсы, получаемые у Заказчика, на основании договора с Заказчиком.</w:t>
      </w:r>
    </w:p>
    <w:p>
      <w:pPr>
        <w:pStyle w:val="Style15"/>
        <w:keepNext w:val="0"/>
        <w:keepLines w:val="0"/>
        <w:widowControl w:val="0"/>
        <w:numPr>
          <w:ilvl w:val="1"/>
          <w:numId w:val="3"/>
        </w:numPr>
        <w:shd w:val="clear" w:color="auto" w:fill="auto"/>
        <w:tabs>
          <w:tab w:pos="1114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>Подрядчик обязан использовать при выполнении работ товары, которые должны соответствовать требованиям технических регламентов, государственных стандартов, если законодательством Российской Федерации, иными нормативными документами, установлены такие требования, и удостоверяться соответствующими документами (сертификатами соответствия, декларациями о соответствии сертификатами о пожарной безопасности, санитарно-эпидемиологическими заключениями и т.п.), выданными в порядке, установленном законодательством Российской Федерации, и подтверждающими пригодность и безопасность использования таких товаров при выполнении работ. Копии документов передаются Заказчику вместе с формами КС-2, КС-3.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 xml:space="preserve">Из пояснений заказчика и уполномоченного учреждения следует, что заказчик не принимает на свой бухгалтерский учет оборудование, правомерность чего подтверждается, в том числе письмом Минфина России от </w:t>
      </w:r>
      <w:r>
        <w:rPr>
          <w:rStyle w:val="CharStyle16"/>
          <w:lang w:val="en-US" w:eastAsia="en-US"/>
        </w:rPr>
        <w:t>21.06.2019 N 02-08-10/46506.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 xml:space="preserve">В данном письме Минфина России указано, что при принятии к учету пожарной сигнализации необходимо исходить из установленных в учетной политике способов ведения бухгалтерского учета основных средств при их приобретении, создании и монтаже, функциональной и экономической направленности производимых расходов с учетом требований федерального стандарта бухгалтерского учета для организаций государственного сектора "Основные средства", утвержденного приказом Министерства финансов Российской Федерации от </w:t>
      </w:r>
      <w:r>
        <w:rPr>
          <w:rStyle w:val="CharStyle16"/>
          <w:lang w:val="en-US" w:eastAsia="en-US"/>
        </w:rPr>
        <w:t xml:space="preserve">31 </w:t>
      </w:r>
      <w:r>
        <w:rPr>
          <w:rStyle w:val="CharStyle16"/>
        </w:rPr>
        <w:t xml:space="preserve">декабря </w:t>
      </w:r>
      <w:r>
        <w:rPr>
          <w:rStyle w:val="CharStyle16"/>
          <w:lang w:val="en-US" w:eastAsia="en-US"/>
        </w:rPr>
        <w:t xml:space="preserve">2016 </w:t>
      </w:r>
      <w:r>
        <w:rPr>
          <w:rStyle w:val="CharStyle16"/>
        </w:rPr>
        <w:t xml:space="preserve">г. </w:t>
      </w:r>
      <w:r>
        <w:rPr>
          <w:rStyle w:val="CharStyle16"/>
          <w:lang w:val="en-US" w:eastAsia="en-US"/>
        </w:rPr>
        <w:t xml:space="preserve">N </w:t>
      </w:r>
      <w:r>
        <w:rPr>
          <w:rStyle w:val="CharStyle16"/>
        </w:rPr>
        <w:t xml:space="preserve">257н (пункты </w:t>
      </w:r>
      <w:r>
        <w:rPr>
          <w:rStyle w:val="CharStyle16"/>
          <w:lang w:val="en-US" w:eastAsia="en-US"/>
        </w:rPr>
        <w:t xml:space="preserve">3 4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8 </w:t>
      </w:r>
      <w:r>
        <w:rPr>
          <w:rStyle w:val="CharStyle16"/>
        </w:rPr>
        <w:t xml:space="preserve">Федерального закона от </w:t>
      </w:r>
      <w:r>
        <w:rPr>
          <w:rStyle w:val="CharStyle16"/>
          <w:lang w:val="en-US" w:eastAsia="en-US"/>
        </w:rPr>
        <w:t xml:space="preserve">6 </w:t>
      </w:r>
      <w:r>
        <w:rPr>
          <w:rStyle w:val="CharStyle16"/>
        </w:rPr>
        <w:t xml:space="preserve">декабря </w:t>
      </w:r>
      <w:r>
        <w:rPr>
          <w:rStyle w:val="CharStyle16"/>
          <w:lang w:val="en-US" w:eastAsia="en-US"/>
        </w:rPr>
        <w:t xml:space="preserve">2011 </w:t>
      </w:r>
      <w:r>
        <w:rPr>
          <w:rStyle w:val="CharStyle16"/>
        </w:rPr>
        <w:t xml:space="preserve">г. </w:t>
      </w:r>
      <w:r>
        <w:rPr>
          <w:rStyle w:val="CharStyle16"/>
          <w:lang w:val="en-US" w:eastAsia="en-US"/>
        </w:rPr>
        <w:t xml:space="preserve">N </w:t>
      </w:r>
      <w:r>
        <w:rPr>
          <w:rStyle w:val="CharStyle16"/>
        </w:rPr>
        <w:t>402-ФЗ "О бухгалтерском учете"). В соответствии с вышеуказанными приказами Министерства финансов Российской Федерации расходы, производимые в объеме фактических затрат учреждения в объекты нефинансовых активов, в том числе в объекты основных средств, при их приобретении, строительстве (создании), модернизации (техническом перевооружении дооборудовании), изготовлении, а также затрат, связанных с выполнением опытно</w:t>
        <w:softHyphen/>
        <w:t xml:space="preserve">конструкторских, технологических работ, которые впоследствии повлияют на стоимость основного объекта нефинансового актива и будут приняты к бухгалтерскому учету в качестве объектов нефинансовых активов, отражаемых на счете </w:t>
      </w:r>
      <w:r>
        <w:rPr>
          <w:rStyle w:val="CharStyle16"/>
          <w:lang w:val="en-US" w:eastAsia="en-US"/>
        </w:rPr>
        <w:t xml:space="preserve">0 106 00 000 </w:t>
      </w:r>
      <w:r>
        <w:rPr>
          <w:rStyle w:val="CharStyle16"/>
        </w:rPr>
        <w:t xml:space="preserve">"Вложения в нефинансовые активы", следует относить на подстатью </w:t>
      </w:r>
      <w:r>
        <w:rPr>
          <w:rStyle w:val="CharStyle16"/>
          <w:lang w:val="en-US" w:eastAsia="en-US"/>
        </w:rPr>
        <w:t xml:space="preserve">228 </w:t>
      </w:r>
      <w:r>
        <w:rPr>
          <w:rStyle w:val="CharStyle16"/>
        </w:rPr>
        <w:t>"Услуги работы для целей капитальных вложений" КОСГУ. В связи с чем расходы по установке (расширению) единых функционирующих систем (включая приведение в состояние пригодное к эксплуатации) пожарной сигнализации, в том числе обустройству "тревожной кнопки", а также работам по ее модернизации (за исключением стоимости основных средств, необходимых для проведения модернизации и поставляемых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 xml:space="preserve">исполнителем, расходы на оплату которых следует относить на статью </w:t>
      </w:r>
      <w:r>
        <w:rPr>
          <w:rStyle w:val="CharStyle16"/>
          <w:lang w:val="en-US" w:eastAsia="en-US"/>
        </w:rPr>
        <w:t xml:space="preserve">310 </w:t>
      </w:r>
      <w:r>
        <w:rPr>
          <w:rStyle w:val="CharStyle16"/>
        </w:rPr>
        <w:t xml:space="preserve">"Увеличение стоимости основных средств" КОСГУ), осуществляемые в рамках капитального ремонта в целях капитальных вложений, отражаются по виду расходов </w:t>
      </w:r>
      <w:r>
        <w:rPr>
          <w:rStyle w:val="CharStyle16"/>
          <w:lang w:val="en-US" w:eastAsia="en-US"/>
        </w:rPr>
        <w:t xml:space="preserve">243 </w:t>
      </w:r>
      <w:r>
        <w:rPr>
          <w:rStyle w:val="CharStyle16"/>
        </w:rPr>
        <w:t xml:space="preserve">"Закупка товаров, работ и услуг в целях капитального ремонта государственного (муниципального) имущества", увязанному в целях бюджетного учета с подстатьей </w:t>
      </w:r>
      <w:r>
        <w:rPr>
          <w:rStyle w:val="CharStyle16"/>
          <w:lang w:val="en-US" w:eastAsia="en-US"/>
        </w:rPr>
        <w:t xml:space="preserve">228 </w:t>
      </w:r>
      <w:r>
        <w:rPr>
          <w:rStyle w:val="CharStyle16"/>
        </w:rPr>
        <w:t xml:space="preserve">"Услуги, работы для целей капитальных вложений" КОСГУ. Вместе с тем отражение аналогичных расходов, осуществляемых в целях реализации бюджетных инвестиций, включенных в сводный сметный расчет стоимости капитального строительства, следует осуществлять в рамках подгруппы </w:t>
      </w:r>
      <w:r>
        <w:rPr>
          <w:rStyle w:val="CharStyle16"/>
          <w:lang w:val="en-US" w:eastAsia="en-US"/>
        </w:rPr>
        <w:t xml:space="preserve">400 </w:t>
      </w:r>
      <w:r>
        <w:rPr>
          <w:rStyle w:val="CharStyle16"/>
        </w:rPr>
        <w:t xml:space="preserve">"Капитальные вложения в объекты государственной (муниципальной) собственности" по элементу вида расходов </w:t>
      </w:r>
      <w:r>
        <w:rPr>
          <w:rStyle w:val="CharStyle16"/>
          <w:lang w:val="en-US" w:eastAsia="en-US"/>
        </w:rPr>
        <w:t xml:space="preserve">407 </w:t>
      </w:r>
      <w:r>
        <w:rPr>
          <w:rStyle w:val="CharStyle16"/>
        </w:rPr>
        <w:t xml:space="preserve">"Строительство (реконструкция) объектов недвижимого имущества государственными (муниципальными) бюджетными и автономными учреждениями", </w:t>
      </w:r>
      <w:r>
        <w:rPr>
          <w:rStyle w:val="CharStyle16"/>
          <w:lang w:val="en-US" w:eastAsia="en-US"/>
        </w:rPr>
        <w:t xml:space="preserve">414 </w:t>
      </w:r>
      <w:r>
        <w:rPr>
          <w:rStyle w:val="CharStyle16"/>
        </w:rPr>
        <w:t xml:space="preserve">"Бюджетные инвестиции в объекты капитального строительства государственной (муниципальной) собственности" соответственно, увязанному в целях бюджетного учета с подстатьей </w:t>
      </w:r>
      <w:r>
        <w:rPr>
          <w:rStyle w:val="CharStyle16"/>
          <w:lang w:val="en-US" w:eastAsia="en-US"/>
        </w:rPr>
        <w:t xml:space="preserve">228 </w:t>
      </w:r>
      <w:r>
        <w:rPr>
          <w:rStyle w:val="CharStyle16"/>
        </w:rPr>
        <w:t xml:space="preserve">"Услуги, работы для целей капитальных вложений" КОСГУ. Отражение расходов, связанных с работами и услугами в целях реализации требований пожарной безопасности, установленных статьей </w:t>
      </w:r>
      <w:r>
        <w:rPr>
          <w:rStyle w:val="CharStyle16"/>
          <w:lang w:val="en-US" w:eastAsia="en-US"/>
        </w:rPr>
        <w:t xml:space="preserve">24 </w:t>
      </w:r>
      <w:r>
        <w:rPr>
          <w:rStyle w:val="CharStyle16"/>
        </w:rPr>
        <w:t xml:space="preserve">Федерального закона от </w:t>
      </w:r>
      <w:r>
        <w:rPr>
          <w:rStyle w:val="CharStyle16"/>
          <w:lang w:val="en-US" w:eastAsia="en-US"/>
        </w:rPr>
        <w:t xml:space="preserve">21 </w:t>
      </w:r>
      <w:r>
        <w:rPr>
          <w:rStyle w:val="CharStyle16"/>
        </w:rPr>
        <w:t xml:space="preserve">декабря </w:t>
      </w:r>
      <w:r>
        <w:rPr>
          <w:rStyle w:val="CharStyle16"/>
          <w:lang w:val="en-US" w:eastAsia="en-US"/>
        </w:rPr>
        <w:t xml:space="preserve">1994 </w:t>
      </w:r>
      <w:r>
        <w:rPr>
          <w:rStyle w:val="CharStyle16"/>
        </w:rPr>
        <w:t xml:space="preserve">г. </w:t>
      </w:r>
      <w:r>
        <w:rPr>
          <w:rStyle w:val="CharStyle16"/>
          <w:lang w:val="en-US" w:eastAsia="en-US"/>
        </w:rPr>
        <w:t xml:space="preserve">N </w:t>
      </w:r>
      <w:r>
        <w:rPr>
          <w:rStyle w:val="CharStyle16"/>
        </w:rPr>
        <w:t xml:space="preserve">69-ФЗ "О пожарной безопасности", и не формирующих капитальные вложения, осуществляется по виду расходов </w:t>
      </w:r>
      <w:r>
        <w:rPr>
          <w:rStyle w:val="CharStyle16"/>
          <w:lang w:val="en-US" w:eastAsia="en-US"/>
        </w:rPr>
        <w:t xml:space="preserve">244 </w:t>
      </w:r>
      <w:r>
        <w:rPr>
          <w:rStyle w:val="CharStyle16"/>
        </w:rPr>
        <w:t xml:space="preserve">"Прочая закупка товаров, работ и услуг" или </w:t>
      </w:r>
      <w:r>
        <w:rPr>
          <w:rStyle w:val="CharStyle16"/>
          <w:lang w:val="en-US" w:eastAsia="en-US"/>
        </w:rPr>
        <w:t xml:space="preserve">243 </w:t>
      </w:r>
      <w:r>
        <w:rPr>
          <w:rStyle w:val="CharStyle16"/>
        </w:rPr>
        <w:t xml:space="preserve">"Закупка товаров, работ и услуг в целях капитального ремонта государственного (муниципального) имущества", увязанному в целях бюджетного учета с подстатьей </w:t>
      </w:r>
      <w:r>
        <w:rPr>
          <w:rStyle w:val="CharStyle16"/>
          <w:lang w:val="en-US" w:eastAsia="en-US"/>
        </w:rPr>
        <w:t xml:space="preserve">226 </w:t>
      </w:r>
      <w:r>
        <w:rPr>
          <w:rStyle w:val="CharStyle16"/>
        </w:rPr>
        <w:t>"Прочие работы, услуги" КОСГУ.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>Исходя из приведенных положений извещения об осуществлении закупки, с учетом пояснений представителей сторон, Комиссией установлено, что в данном случае заказчиком установлены требования к материалам, используемым при выполнении работ, а не поставляемым заказчику при выполнении работ. В рамках выполнения работ не предполагается поставка товаров, их приемка заказчиком. По условиям извещения об осуществлении закупки результатом исполнения контракта являются работы.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 xml:space="preserve">Постановлением Правительства Российской Федерации от </w:t>
      </w:r>
      <w:r>
        <w:rPr>
          <w:rStyle w:val="CharStyle16"/>
          <w:lang w:val="en-US" w:eastAsia="en-US"/>
        </w:rPr>
        <w:t xml:space="preserve">23.12.2024 N 1875 </w:t>
      </w:r>
      <w:r>
        <w:rPr>
          <w:rStyle w:val="CharStyle16"/>
        </w:rPr>
        <w:t xml:space="preserve">(далее </w:t>
      </w:r>
      <w:r>
        <w:rPr>
          <w:rStyle w:val="CharStyle16"/>
          <w:lang w:val="en-US" w:eastAsia="en-US"/>
        </w:rPr>
        <w:t xml:space="preserve">– </w:t>
      </w:r>
      <w:r>
        <w:rPr>
          <w:rStyle w:val="CharStyle16"/>
        </w:rPr>
        <w:t xml:space="preserve">Постановление </w:t>
      </w:r>
      <w:r>
        <w:rPr>
          <w:rStyle w:val="CharStyle16"/>
          <w:lang w:val="en-US" w:eastAsia="en-US"/>
        </w:rPr>
        <w:t xml:space="preserve">№1875) </w:t>
      </w:r>
      <w:r>
        <w:rPr>
          <w:rStyle w:val="CharStyle16"/>
        </w:rPr>
        <w:t>установлены: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07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 xml:space="preserve"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 (далее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 xml:space="preserve">иностранные лица), по перечню согласно приложению </w:t>
      </w:r>
      <w:r>
        <w:rPr>
          <w:rStyle w:val="CharStyle16"/>
          <w:lang w:val="en-US" w:eastAsia="en-US"/>
        </w:rPr>
        <w:t xml:space="preserve">N 1, </w:t>
      </w:r>
      <w:r>
        <w:rPr>
          <w:rStyle w:val="CharStyle16"/>
        </w:rPr>
        <w:t>а также закупок в рамках государственного оборонного заказа для выполнения мероприятий государственных программ Российской Федерации, государственной программы вооружения, иных мероприятий в рамках государственного оборонного заказа товаров,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02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 xml:space="preserve"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</w:t>
      </w:r>
      <w:r>
        <w:rPr>
          <w:rStyle w:val="CharStyle16"/>
          <w:lang w:val="en-US" w:eastAsia="en-US"/>
        </w:rPr>
        <w:t>N 2;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9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услуг).</w:t>
      </w:r>
      <w:r>
        <w:br w:type="page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 xml:space="preserve">Товары с кодами ОКПД2: </w:t>
      </w:r>
      <w:r>
        <w:rPr>
          <w:rStyle w:val="CharStyle16"/>
          <w:lang w:val="en-US" w:eastAsia="en-US"/>
        </w:rPr>
        <w:t xml:space="preserve">26.30.50.113 - </w:t>
      </w:r>
      <w:r>
        <w:rPr>
          <w:rStyle w:val="CharStyle16"/>
        </w:rPr>
        <w:t xml:space="preserve">Устройства сигнально-пусковые охранные и охранно-пожарные; </w:t>
      </w:r>
      <w:r>
        <w:rPr>
          <w:rStyle w:val="CharStyle16"/>
          <w:lang w:val="en-US" w:eastAsia="en-US"/>
        </w:rPr>
        <w:t xml:space="preserve">26.30.50.114 - </w:t>
      </w:r>
      <w:r>
        <w:rPr>
          <w:rStyle w:val="CharStyle16"/>
        </w:rPr>
        <w:t xml:space="preserve">Приборы управления, приемноконтрольные и оповещатели охранные и охранно-пожарные; </w:t>
      </w:r>
      <w:r>
        <w:rPr>
          <w:rStyle w:val="CharStyle16"/>
          <w:lang w:val="en-US" w:eastAsia="en-US"/>
        </w:rPr>
        <w:t xml:space="preserve">26.30.50.121 - </w:t>
      </w:r>
      <w:r>
        <w:rPr>
          <w:rStyle w:val="CharStyle16"/>
        </w:rPr>
        <w:t xml:space="preserve">Извещатели пожарные содержатся в приложении </w:t>
      </w:r>
      <w:r>
        <w:rPr>
          <w:rStyle w:val="CharStyle16"/>
          <w:lang w:val="en-US" w:eastAsia="en-US"/>
        </w:rPr>
        <w:t xml:space="preserve">N 2 </w:t>
      </w:r>
      <w:r>
        <w:rPr>
          <w:rStyle w:val="CharStyle16"/>
        </w:rPr>
        <w:t xml:space="preserve">к Постановлению </w:t>
      </w:r>
      <w:r>
        <w:rPr>
          <w:rStyle w:val="CharStyle16"/>
          <w:lang w:val="en-US" w:eastAsia="en-US"/>
        </w:rPr>
        <w:t>№1875.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 xml:space="preserve">Однако, поскольку в рамках выполнения работ по контракту не предполагается поставка оборудования, содержащегося в перечне согласно приложению </w:t>
      </w:r>
      <w:r>
        <w:rPr>
          <w:rStyle w:val="CharStyle16"/>
          <w:lang w:val="en-US" w:eastAsia="en-US"/>
        </w:rPr>
        <w:t xml:space="preserve">N 2 </w:t>
      </w:r>
      <w:r>
        <w:rPr>
          <w:rStyle w:val="CharStyle16"/>
        </w:rPr>
        <w:t xml:space="preserve">к Постановлению </w:t>
      </w:r>
      <w:r>
        <w:rPr>
          <w:rStyle w:val="CharStyle16"/>
          <w:lang w:val="en-US" w:eastAsia="en-US"/>
        </w:rPr>
        <w:t xml:space="preserve">№ 1875, </w:t>
      </w:r>
      <w:r>
        <w:rPr>
          <w:rStyle w:val="CharStyle16"/>
        </w:rPr>
        <w:t>то установление в извещении ограничений закупок товаров не требуется.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>С учетом изложенного, доводы жалобы не нашли своего подтверждения. Нарушения правил описания объекта закупки не установлено.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580"/>
        <w:jc w:val="both"/>
      </w:pPr>
      <w:r>
        <w:rPr>
          <w:rStyle w:val="CharStyle16"/>
        </w:rPr>
        <w:t xml:space="preserve">Руководствуясь статьей </w:t>
      </w:r>
      <w:r>
        <w:rPr>
          <w:rStyle w:val="CharStyle16"/>
          <w:lang w:val="en-US" w:eastAsia="en-US"/>
        </w:rPr>
        <w:t xml:space="preserve">99, </w:t>
      </w:r>
      <w:r>
        <w:rPr>
          <w:rStyle w:val="CharStyle16"/>
        </w:rPr>
        <w:t xml:space="preserve">статьей </w:t>
      </w:r>
      <w:r>
        <w:rPr>
          <w:rStyle w:val="CharStyle16"/>
          <w:lang w:val="en-US" w:eastAsia="en-US"/>
        </w:rPr>
        <w:t xml:space="preserve">106 </w:t>
      </w:r>
      <w:r>
        <w:rPr>
          <w:rStyle w:val="CharStyle16"/>
        </w:rPr>
        <w:t>Закона о контрактной системе, Комиссия Липецкого УФАС России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6"/>
        </w:rPr>
        <w:t>Р Е Ш И Л А: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  <w:lang w:val="en-US" w:eastAsia="en-US"/>
        </w:rPr>
        <w:t xml:space="preserve">1. </w:t>
      </w:r>
      <w:r>
        <w:rPr>
          <w:rStyle w:val="CharStyle16"/>
        </w:rPr>
        <w:t xml:space="preserve">Признать жалобу автономной некоммерческой организации в сфере поддержки отечественных производителей «Консорциум «Производители охранных, пожарных СКУД систем безопасности» на положения извещения о проведении электронного аукциона на капитальный ремонт системы автоматической пожарной сигнализации в ДОУ </w:t>
      </w:r>
      <w:r>
        <w:rPr>
          <w:rStyle w:val="CharStyle16"/>
          <w:lang w:val="en-US" w:eastAsia="en-US"/>
        </w:rPr>
        <w:t xml:space="preserve">№ 101 </w:t>
      </w:r>
      <w:r>
        <w:rPr>
          <w:rStyle w:val="CharStyle16"/>
        </w:rPr>
        <w:t xml:space="preserve">г. Липецка по адресу: г.Липецк, </w:t>
      </w:r>
      <w:r>
        <w:rPr>
          <w:rStyle w:val="CharStyle16"/>
          <w:lang w:val="en-US" w:eastAsia="en-US"/>
        </w:rPr>
        <w:t xml:space="preserve">15 </w:t>
      </w:r>
      <w:r>
        <w:rPr>
          <w:rStyle w:val="CharStyle16"/>
        </w:rPr>
        <w:t xml:space="preserve">микрорайон, д.20 (реестровый номер </w:t>
      </w:r>
      <w:r>
        <w:rPr>
          <w:rStyle w:val="CharStyle16"/>
          <w:lang w:val="en-US" w:eastAsia="en-US"/>
        </w:rPr>
        <w:t xml:space="preserve">0846600002125000267) </w:t>
      </w:r>
      <w:r>
        <w:rPr>
          <w:rStyle w:val="CharStyle16"/>
        </w:rPr>
        <w:t>необоснованной.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>Решение может быть обжаловано в арбитражный суд в течение трех месяцев со дня его вынесения.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7" w:right="422" w:bottom="1102" w:left="985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17500" distB="201295" distL="0" distR="0" simplePos="0" relativeHeight="125829378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317500</wp:posOffset>
                </wp:positionV>
                <wp:extent cx="1791970" cy="240665"/>
                <wp:wrapTopAndBottom/>
                <wp:docPr id="6" name="Shape 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91970" cy="2406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position:absolute;margin-left:58.200000000000003pt;margin-top:25.pt;width:141.09999999999999pt;height:18.949999999999999pt;z-index:-125829375;mso-wrap-distance-left:0;mso-wrap-distance-top:25.pt;mso-wrap-distance-right:0;mso-wrap-distance-bottom:15.8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15290" distB="0" distL="0" distR="1816735" simplePos="0" relativeHeight="125829380" behindDoc="0" locked="0" layoutInCell="1" allowOverlap="1">
            <wp:simplePos x="0" y="0"/>
            <wp:positionH relativeFrom="page">
              <wp:posOffset>2774950</wp:posOffset>
            </wp:positionH>
            <wp:positionV relativeFrom="paragraph">
              <wp:posOffset>415290</wp:posOffset>
            </wp:positionV>
            <wp:extent cx="298450" cy="347345"/>
            <wp:wrapTopAndBottom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3164840</wp:posOffset>
                </wp:positionH>
                <wp:positionV relativeFrom="paragraph">
                  <wp:posOffset>476250</wp:posOffset>
                </wp:positionV>
                <wp:extent cx="1722120" cy="259080"/>
                <wp:wrapNone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249.20000000000002pt;margin-top:37.5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17500" distB="201295" distL="0" distR="0" simplePos="0" relativeHeight="125829381" behindDoc="0" locked="0" layoutInCell="1" allowOverlap="1">
                <wp:simplePos x="0" y="0"/>
                <wp:positionH relativeFrom="page">
                  <wp:posOffset>6164580</wp:posOffset>
                </wp:positionH>
                <wp:positionV relativeFrom="paragraph">
                  <wp:posOffset>317500</wp:posOffset>
                </wp:positionV>
                <wp:extent cx="1024255" cy="240665"/>
                <wp:wrapTopAndBottom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4255" cy="2406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6"/>
                              </w:rPr>
                              <w:t>И.В. Поткина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485.40000000000003pt;margin-top:25.pt;width:80.650000000000006pt;height:18.949999999999999pt;z-index:-125829372;mso-wrap-distance-left:0;mso-wrap-distance-top:25.pt;mso-wrap-distance-right:0;mso-wrap-distance-bottom:15.8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6"/>
                        </w:rPr>
                        <w:t>И.В. Поткина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4"/>
          <w:color w:val="FFFFFF"/>
        </w:rPr>
        <w:t>СВЕДЕНИЯ О 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6"/>
        </w:rPr>
        <w:t xml:space="preserve">Кому выдан: </w:t>
      </w:r>
      <w:r>
        <w:rPr>
          <w:rStyle w:val="CharStyle26"/>
          <w:color w:val="000000"/>
          <w:sz w:val="11"/>
          <w:szCs w:val="11"/>
        </w:rPr>
        <w:t>Поткина Ирина Владимировна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Сертификат </w:t>
      </w:r>
      <w:r>
        <w:rPr>
          <w:rStyle w:val="CharStyle26"/>
          <w:color w:val="292929"/>
        </w:rPr>
        <w:t xml:space="preserve">№ </w:t>
      </w:r>
      <w:r>
        <w:rPr>
          <w:rStyle w:val="CharStyle26"/>
          <w:lang w:val="en-US" w:eastAsia="en-US"/>
        </w:rPr>
        <w:t>0D54FC15B6C72F3572541525D110AC1F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right="0" w:firstLine="0"/>
        <w:jc w:val="left"/>
      </w:pPr>
      <w:r>
        <w:drawing>
          <wp:anchor distT="100330" distB="635" distL="114300" distR="4232275" simplePos="0" relativeHeight="125829383" behindDoc="0" locked="0" layoutInCell="1" allowOverlap="1">
            <wp:simplePos x="0" y="0"/>
            <wp:positionH relativeFrom="page">
              <wp:posOffset>2774950</wp:posOffset>
            </wp:positionH>
            <wp:positionV relativeFrom="paragraph">
              <wp:posOffset>532130</wp:posOffset>
            </wp:positionV>
            <wp:extent cx="298450" cy="347345"/>
            <wp:wrapSquare wrapText="left"/>
            <wp:docPr id="14" name="Shap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box 15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3164840</wp:posOffset>
                </wp:positionH>
                <wp:positionV relativeFrom="paragraph">
                  <wp:posOffset>593090</wp:posOffset>
                </wp:positionV>
                <wp:extent cx="1722120" cy="259080"/>
                <wp:wrapNone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49.20000000000002pt;margin-top:46.700000000000003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201295" distL="3397250" distR="113665" simplePos="0" relativeHeight="125829384" behindDoc="0" locked="0" layoutInCell="1" allowOverlap="1">
                <wp:simplePos x="0" y="0"/>
                <wp:positionH relativeFrom="page">
                  <wp:posOffset>6057900</wp:posOffset>
                </wp:positionH>
                <wp:positionV relativeFrom="paragraph">
                  <wp:posOffset>431800</wp:posOffset>
                </wp:positionV>
                <wp:extent cx="1130935" cy="243840"/>
                <wp:wrapSquare wrapText="left"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0935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6"/>
                              </w:rPr>
                              <w:t>Т.Н. Ролдугина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477.pt;margin-top:34.pt;width:89.049999999999997pt;height:19.199999999999999pt;z-index:-125829369;mso-wrap-distance-left:267.5pt;mso-wrap-distance-right:8.9500000000000011pt;mso-wrap-distance-bottom:15.8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6"/>
                        </w:rPr>
                        <w:t>Т.Н. Ролдугина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26"/>
        </w:rPr>
        <w:t xml:space="preserve">Действителен с 19.02.2024 </w:t>
      </w:r>
      <w:r>
        <w:rPr>
          <w:rStyle w:val="CharStyle26"/>
          <w:color w:val="575757"/>
        </w:rPr>
        <w:t>по 14.05.2025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90" w:line="240" w:lineRule="auto"/>
        <w:ind w:left="0" w:right="0" w:firstLine="0"/>
        <w:jc w:val="left"/>
      </w:pPr>
      <w:r>
        <w:rPr>
          <w:rStyle w:val="CharStyle16"/>
        </w:rPr>
        <w:t>Зам. председателя Комиссии</w:t>
      </w:r>
    </w:p>
    <w:p>
      <w:pPr>
        <w:pStyle w:val="Style2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4"/>
          <w:color w:val="FFFFFF"/>
        </w:rPr>
        <w:t>СВЕДЕНИЯ О 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6"/>
        </w:rPr>
        <w:t xml:space="preserve">Кому выдан: </w:t>
      </w:r>
      <w:r>
        <w:rPr>
          <w:rStyle w:val="CharStyle26"/>
          <w:color w:val="000000"/>
          <w:sz w:val="11"/>
          <w:szCs w:val="11"/>
        </w:rPr>
        <w:t>Ролдугина Татьяна Николаевна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Сертификат </w:t>
      </w:r>
      <w:r>
        <w:rPr>
          <w:rStyle w:val="CharStyle26"/>
          <w:color w:val="292929"/>
        </w:rPr>
        <w:t xml:space="preserve">№ </w:t>
      </w:r>
      <w:r>
        <w:rPr>
          <w:rStyle w:val="CharStyle26"/>
          <w:lang w:val="en-US" w:eastAsia="en-US"/>
        </w:rPr>
        <w:t>610E27024BEB34A450198B5A4464784F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Действителен с 18.03.2024 </w:t>
      </w:r>
      <w:r>
        <w:rPr>
          <w:rStyle w:val="CharStyle26"/>
          <w:color w:val="575757"/>
        </w:rPr>
        <w:t>по 11.06.2025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254000" distB="201295" distL="0" distR="0" simplePos="0" relativeHeight="125829386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254000</wp:posOffset>
                </wp:positionV>
                <wp:extent cx="1164590" cy="243840"/>
                <wp:wrapTopAndBottom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6459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Член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57.950000000000003pt;margin-top:20.pt;width:91.700000000000003pt;height:19.199999999999999pt;z-index:-125829367;mso-wrap-distance-left:0;mso-wrap-distance-top:20.pt;mso-wrap-distance-right:0;mso-wrap-distance-bottom:15.8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Член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54330" distB="635" distL="0" distR="1816735" simplePos="0" relativeHeight="125829388" behindDoc="0" locked="0" layoutInCell="1" allowOverlap="1">
            <wp:simplePos x="0" y="0"/>
            <wp:positionH relativeFrom="page">
              <wp:posOffset>2774950</wp:posOffset>
            </wp:positionH>
            <wp:positionV relativeFrom="paragraph">
              <wp:posOffset>354330</wp:posOffset>
            </wp:positionV>
            <wp:extent cx="298450" cy="347345"/>
            <wp:wrapTopAndBottom/>
            <wp:docPr id="22" name="Shap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box 23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3164840</wp:posOffset>
                </wp:positionH>
                <wp:positionV relativeFrom="paragraph">
                  <wp:posOffset>415290</wp:posOffset>
                </wp:positionV>
                <wp:extent cx="1722120" cy="259080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49.20000000000002pt;margin-top:32.700000000000003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54000" distB="201295" distL="0" distR="0" simplePos="0" relativeHeight="125829389" behindDoc="0" locked="0" layoutInCell="1" allowOverlap="1">
                <wp:simplePos x="0" y="0"/>
                <wp:positionH relativeFrom="page">
                  <wp:posOffset>6170295</wp:posOffset>
                </wp:positionH>
                <wp:positionV relativeFrom="paragraph">
                  <wp:posOffset>254000</wp:posOffset>
                </wp:positionV>
                <wp:extent cx="1021080" cy="243840"/>
                <wp:wrapTopAndBottom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108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6"/>
                              </w:rPr>
                              <w:t>И.А. Иванова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485.85000000000002pt;margin-top:20.pt;width:80.400000000000006pt;height:19.199999999999999pt;z-index:-125829364;mso-wrap-distance-left:0;mso-wrap-distance-top:20.pt;mso-wrap-distance-right:0;mso-wrap-distance-bottom:15.8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6"/>
                        </w:rPr>
                        <w:t>И.А. Иванова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w:rPr>
          <w:rStyle w:val="CharStyle24"/>
          <w:color w:val="FFFFFF"/>
        </w:rPr>
        <w:t>СВЕДЕНИЯ О 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6"/>
        </w:rPr>
        <w:t xml:space="preserve">Кому выдан: </w:t>
      </w:r>
      <w:r>
        <w:rPr>
          <w:rStyle w:val="CharStyle26"/>
          <w:color w:val="000000"/>
          <w:sz w:val="11"/>
          <w:szCs w:val="11"/>
        </w:rPr>
        <w:t>Иванова Ирина Александровна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26"/>
        </w:rPr>
        <w:t xml:space="preserve">Сертификат </w:t>
      </w:r>
      <w:r>
        <w:rPr>
          <w:rStyle w:val="CharStyle26"/>
          <w:color w:val="292929"/>
        </w:rPr>
        <w:t xml:space="preserve">№ </w:t>
      </w:r>
      <w:r>
        <w:rPr>
          <w:rStyle w:val="CharStyle26"/>
          <w:lang w:val="en-US" w:eastAsia="en-US"/>
        </w:rPr>
        <w:t>1A474BD21581B7BCA2AD46FA27AB8252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right="0" w:firstLine="0"/>
        <w:jc w:val="left"/>
      </w:pPr>
      <w:r>
        <w:rPr>
          <w:rStyle w:val="CharStyle26"/>
        </w:rPr>
        <w:t xml:space="preserve">Действителен с 03.04.2025 </w:t>
      </w:r>
      <w:r>
        <w:rPr>
          <w:rStyle w:val="CharStyle26"/>
          <w:color w:val="575757"/>
        </w:rPr>
        <w:t xml:space="preserve">по </w:t>
      </w:r>
      <w:r>
        <w:rPr>
          <w:rStyle w:val="CharStyle26"/>
        </w:rPr>
        <w:t>27.06.2026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46" w:bottom="2283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9851390</wp:posOffset>
              </wp:positionV>
              <wp:extent cx="658495" cy="12827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2025-3822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6.75pt;margin-top:775.70000000000005pt;width:51.850000000000001pt;height:10.1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2025-3822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4"/>
      <w:numFmt w:val="decimal"/>
      <w:lvlText w:val="%1."/>
    </w:lvl>
    <w:lvl w:ilvl="1">
      <w:start w:val="8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7"/>
      <w:sz w:val="16"/>
      <w:szCs w:val="16"/>
      <w:u w:val="none"/>
    </w:rPr>
  </w:style>
  <w:style w:type="character" w:customStyle="1" w:styleId="CharStyle9">
    <w:name w:val="Body text (5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097"/>
      <w:sz w:val="19"/>
      <w:szCs w:val="19"/>
      <w:u w:val="none"/>
    </w:rPr>
  </w:style>
  <w:style w:type="character" w:customStyle="1" w:styleId="CharStyle11">
    <w:name w:val="Heading #2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3">
    <w:name w:val="Picture caption_"/>
    <w:basedOn w:val="DefaultParagraphFont"/>
    <w:link w:val="Style1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6">
    <w:name w:val="Body text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8">
    <w:name w:val="Heading #1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character" w:customStyle="1" w:styleId="CharStyle20">
    <w:name w:val="Other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4">
    <w:name w:val="Body text (4)_"/>
    <w:basedOn w:val="DefaultParagraphFont"/>
    <w:link w:val="Style2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6">
    <w:name w:val="Body text (2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60" w:line="27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7"/>
      <w:sz w:val="16"/>
      <w:szCs w:val="16"/>
      <w:u w:val="none"/>
    </w:rPr>
  </w:style>
  <w:style w:type="paragraph" w:customStyle="1" w:styleId="Style8">
    <w:name w:val="Body text (5)"/>
    <w:basedOn w:val="Normal"/>
    <w:link w:val="CharStyle9"/>
    <w:pPr>
      <w:widowControl w:val="0"/>
      <w:shd w:val="clear" w:color="auto" w:fill="auto"/>
      <w:spacing w:after="42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097"/>
      <w:sz w:val="19"/>
      <w:szCs w:val="19"/>
      <w:u w:val="none"/>
    </w:rPr>
  </w:style>
  <w:style w:type="paragraph" w:customStyle="1" w:styleId="Style10">
    <w:name w:val="Heading #2"/>
    <w:basedOn w:val="Normal"/>
    <w:link w:val="CharStyle11"/>
    <w:pPr>
      <w:widowControl w:val="0"/>
      <w:shd w:val="clear" w:color="auto" w:fill="auto"/>
      <w:spacing w:after="28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2">
    <w:name w:val="Picture caption"/>
    <w:basedOn w:val="Normal"/>
    <w:link w:val="CharStyle13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styleId="Style15">
    <w:name w:val="Body text"/>
    <w:basedOn w:val="Normal"/>
    <w:link w:val="CharStyle16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7">
    <w:name w:val="Heading #1"/>
    <w:basedOn w:val="Normal"/>
    <w:link w:val="CharStyle18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paragraph" w:customStyle="1" w:styleId="Style19">
    <w:name w:val="Other"/>
    <w:basedOn w:val="Normal"/>
    <w:link w:val="CharStyle2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3">
    <w:name w:val="Body text (4)"/>
    <w:basedOn w:val="Normal"/>
    <w:link w:val="CharStyle24"/>
    <w:pPr>
      <w:widowControl w:val="0"/>
      <w:shd w:val="clear" w:color="auto" w:fill="auto"/>
      <w:spacing w:after="100"/>
      <w:ind w:left="394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5">
    <w:name w:val="Body text (2)"/>
    <w:basedOn w:val="Normal"/>
    <w:link w:val="CharStyle26"/>
    <w:pPr>
      <w:widowControl w:val="0"/>
      <w:shd w:val="clear" w:color="auto" w:fill="auto"/>
      <w:ind w:left="324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Relationship Id="rId15" Type="http://schemas.openxmlformats.org/officeDocument/2006/relationships/image" Target="media/image5.jpeg"/><Relationship Id="rId16" Type="http://schemas.openxmlformats.org/officeDocument/2006/relationships/image" Target="media/image5.jpeg" TargetMode="External"/></Relationships>
</file>