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1787525</wp:posOffset>
            </wp:positionH>
            <wp:positionV relativeFrom="margin">
              <wp:posOffset>0</wp:posOffset>
            </wp:positionV>
            <wp:extent cx="530225" cy="6032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517" w:bottom="1226" w:left="109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8"/>
          <w:b/>
          <w:bCs/>
        </w:rPr>
        <w:t>УПРАВЛЕНИЕ</w:t>
        <w:br/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625048, г. Тюмень, ул. Холодильная, 58а</w:t>
        <w:br/>
        <w:t>тел. (3452) 50-31-55, факс (3452) 50-59-14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71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"mailto:to72@fas.gov.ra" </w:instrText>
      </w:r>
      <w:r>
        <w:fldChar w:fldCharType="separate"/>
      </w:r>
      <w:r>
        <w:rPr>
          <w:rStyle w:val="CharStyle6"/>
          <w:lang w:val="en-US" w:eastAsia="en-US"/>
        </w:rPr>
        <w:t>to72@fas.gov.ra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9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6.05.2025</w:t>
        <w:tab/>
      </w:r>
      <w:r>
        <w:fldChar w:fldCharType="end"/>
      </w:r>
      <w:r>
        <w:rPr>
          <w:rStyle w:val="CharStyle12"/>
        </w:rPr>
        <w:t>№ -/3231/25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 направлении решения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АО «Тэк-Торг»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Тимура Фрунзе д. 24, г. Москва, 119021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МКУ «Муниципальные закупки города Тюмени»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Малыгина д. 5, г. Тюмень, 625048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Департамент дорожной инфраструктуры и транспорта Администрации города Тюмени ул. Киевская д. 60А, г. Тюмень, 625027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747" w:bottom="1183" w:left="1101" w:header="0" w:footer="3" w:gutter="0"/>
          <w:cols w:num="2" w:space="720" w:equalWidth="0">
            <w:col w:w="4157" w:space="1147"/>
            <w:col w:w="4747"/>
          </w:cols>
          <w:noEndnote/>
          <w:rtlGutter w:val="0"/>
          <w:docGrid w:linePitch="360"/>
        </w:sectPr>
      </w:pPr>
      <w:r>
        <w:rPr>
          <w:rStyle w:val="CharStyle16"/>
        </w:rPr>
        <w:t>ООО «Мастерские по реставрации памятников старины «Ренессанс» ул. Цветочная д. 7, лит. «Б», пом. 9, оф. 1, г. Санкт-Петербург, 196006</w:t>
      </w:r>
    </w:p>
    <w:p>
      <w:pPr>
        <w:widowControl w:val="0"/>
        <w:spacing w:line="22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0" w:bottom="121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 № 072/06/44/63/2025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20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6417310</wp:posOffset>
                </wp:positionH>
                <wp:positionV relativeFrom="paragraph">
                  <wp:posOffset>12700</wp:posOffset>
                </wp:positionV>
                <wp:extent cx="76835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 Тюмень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5.30000000000001pt;margin-top:1.pt;width:60.5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 Тюмень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15 мая 2025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720"/>
        <w:jc w:val="both"/>
      </w:pPr>
      <w:r>
        <w:rPr>
          <w:rStyle w:val="CharStyle16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– Комиссия, антимонопольный орган)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720"/>
        <w:jc w:val="both"/>
      </w:pPr>
      <w:r>
        <w:rPr>
          <w:rStyle w:val="CharStyle16"/>
        </w:rPr>
        <w:t>Председатель комиссии – заместитель начальника отдела контроля закупок Логинова Н.В.,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6"/>
        </w:rPr>
        <w:t>Главный специалист-эксперт отдела контроля закупок Назаров И.Г.,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6"/>
        </w:rPr>
        <w:t>Ведущий специалист-эксперт отдела контроля закупок Романенко В.В.,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720"/>
        <w:jc w:val="both"/>
      </w:pPr>
      <w:r>
        <w:rPr>
          <w:rStyle w:val="CharStyle16"/>
        </w:rPr>
        <w:t>с участием представителя заказчика: Департамента дорожной инфраструктуры и транспорта Администрации города Тюмени (далее – заказчик), Калимуллиной С.С. по доверенности № 118 от 11.11.2024,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720"/>
        <w:jc w:val="both"/>
      </w:pPr>
      <w:r>
        <w:rPr>
          <w:rStyle w:val="CharStyle16"/>
        </w:rPr>
        <w:t>в отсутствие уполномоченного учреждения: МКУ «Муниципальные закупки города Тюмени» (далее – уполномоченное учреждение), извещенного надлежащим образом о дате и времени рассмотрения дела,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720"/>
        <w:jc w:val="both"/>
      </w:pPr>
      <w:r>
        <w:rPr>
          <w:rStyle w:val="CharStyle16"/>
        </w:rPr>
        <w:t>в отсутствие заявителя: ООО «Мастерские по реставрации памятников старины «Ренессанс» (далее – заявитель, Общество), извещенного надлежащим образом о дате и времени рассмотрения дела,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200" w:right="0" w:firstLine="720"/>
        <w:jc w:val="both"/>
      </w:pPr>
      <w:r>
        <w:rPr>
          <w:rStyle w:val="CharStyle16"/>
        </w:rPr>
        <w:t xml:space="preserve">рассмотрев в дистанционном режиме посредством плагина видеоконференции </w:t>
      </w:r>
      <w:r>
        <w:rPr>
          <w:rStyle w:val="CharStyle16"/>
          <w:lang w:val="en-US" w:eastAsia="en-US"/>
        </w:rPr>
        <w:t xml:space="preserve">TrueConf </w:t>
      </w:r>
      <w:r>
        <w:rPr>
          <w:rStyle w:val="CharStyle16"/>
        </w:rPr>
        <w:t>в порядке, предусмотренном главой 6 Федерального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5"/>
        </w:rPr>
        <w:t>1HIIIIIIIIIIIIin mm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6"/>
        </w:rPr>
        <w:t xml:space="preserve">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по тексту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Закон о контрактной системе, Закон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44-ФЗ) жалобу ООО «Мастерские по реставрации памятников старины «Ренессанс» на действия заказчика Департамента дорожной инфраструктуры и транспорта Администрации города Тюмени при проведении электронного аукциона на поставку автопавильонов (реестровый номер закупки </w:t>
      </w:r>
      <w:r>
        <w:rPr>
          <w:rStyle w:val="CharStyle16"/>
          <w:lang w:val="en-US" w:eastAsia="en-US"/>
        </w:rPr>
        <w:t>0167300000525000370),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 xml:space="preserve">В Управление Федеральной антимонопольной службы по Тюменской области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Тюменское УФАС России) поступила жалоба ООО «Мастерские по реставрации памятников старины «Ренессанс» на действия заказчика Департамента дорожной инфраструктуры и транспорта Администрации города Тюмени при проведении электронного аукциона на поставку автопавильонов.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 xml:space="preserve">Указанная жалоба заявителя признана соответствующей требованиям, предусмотренным статьёй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системе, и принята к рассмотрению. Во исполнение требований части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 информация о содержании жалобы, времени и месте ее рассмотрения размещены в реестре жалоб на официальном сайте Единой информационной системы в сфере закупок </w:t>
      </w:r>
      <w:r>
        <w:rPr>
          <w:rStyle w:val="CharStyle16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6"/>
          <w:lang w:val="en-US" w:eastAsia="en-US"/>
        </w:rPr>
        <w:t>www.zakupki.gov.ru</w:t>
      </w:r>
      <w:r>
        <w:fldChar w:fldCharType="end"/>
      </w:r>
      <w:r>
        <w:rPr>
          <w:rStyle w:val="CharStyle16"/>
          <w:lang w:val="en-US" w:eastAsia="en-US"/>
        </w:rPr>
        <w:t>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Заявитель в жалобе указывает следующие доводы: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  <w:b/>
          <w:bCs/>
        </w:rPr>
        <w:t>Первый довод</w:t>
      </w:r>
      <w:r>
        <w:rPr>
          <w:rStyle w:val="CharStyle16"/>
        </w:rPr>
        <w:t xml:space="preserve">. Требованиями пункта </w:t>
      </w:r>
      <w:r>
        <w:rPr>
          <w:rStyle w:val="CharStyle16"/>
          <w:lang w:val="en-US" w:eastAsia="en-US"/>
        </w:rPr>
        <w:t xml:space="preserve">1.2 </w:t>
      </w:r>
      <w:r>
        <w:rPr>
          <w:rStyle w:val="CharStyle16"/>
        </w:rPr>
        <w:t xml:space="preserve">муниципального контракта предусмотрена поставка и передача заказчику автопавильонов. Вместе с тем, пункт </w:t>
      </w:r>
      <w:r>
        <w:rPr>
          <w:rStyle w:val="CharStyle16"/>
          <w:lang w:val="en-US" w:eastAsia="en-US"/>
        </w:rPr>
        <w:t xml:space="preserve">3.3 </w:t>
      </w:r>
      <w:r>
        <w:rPr>
          <w:rStyle w:val="CharStyle16"/>
        </w:rPr>
        <w:t>содержит информацию о дате поставке и установки товара. По мнению заявителя, указанные положения проекта контракта противоречат друг другу, поскольку установка товара не является предметом контракта и не оплачивается отдельно заказчиком.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  <w:b/>
          <w:bCs/>
        </w:rPr>
        <w:t>Второй довод</w:t>
      </w:r>
      <w:r>
        <w:rPr>
          <w:rStyle w:val="CharStyle16"/>
        </w:rPr>
        <w:t xml:space="preserve">. В проекте контракта заказчиком указывается что качество поставляемого товара должно соответствовать требованиям ГОСТ </w:t>
      </w:r>
      <w:r>
        <w:rPr>
          <w:rStyle w:val="CharStyle16"/>
          <w:lang w:val="en-US" w:eastAsia="en-US"/>
        </w:rPr>
        <w:t xml:space="preserve">22233-2018. </w:t>
      </w:r>
      <w:r>
        <w:rPr>
          <w:rStyle w:val="CharStyle16"/>
        </w:rPr>
        <w:t xml:space="preserve">Вместе с тем, упоминаемый в проекте контракта ГОСТ </w:t>
      </w:r>
      <w:r>
        <w:rPr>
          <w:rStyle w:val="CharStyle16"/>
          <w:lang w:val="en-US" w:eastAsia="en-US"/>
        </w:rPr>
        <w:t xml:space="preserve">22233-2018 </w:t>
      </w:r>
      <w:r>
        <w:rPr>
          <w:rStyle w:val="CharStyle16"/>
        </w:rPr>
        <w:t xml:space="preserve">является недействующим в связи с введением в действие ГОСТ </w:t>
      </w:r>
      <w:r>
        <w:rPr>
          <w:rStyle w:val="CharStyle16"/>
          <w:lang w:val="en-US" w:eastAsia="en-US"/>
        </w:rPr>
        <w:t>22233-2025.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Заказчиком и уполномоченным учреждением представлены возражения на жалобу заявителя, просят Комиссию Тюменского УФАС России признать жалобу заявителя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 xml:space="preserve">В ходе контрольного мероприятия Комиссией Тюменского УФАС России были изучены документы и информация, полученные путем формирования запроса в Государственной информационной системе «Независимый регистратор»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ГИС «НР»):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извещение о проведении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протоколы, составленные в ходе проведения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заявки участников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иные документы и информация, полученные в Государственной информационной системе «Независимый регистратор».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80"/>
        <w:jc w:val="both"/>
      </w:pPr>
      <w:r>
        <w:rPr>
          <w:rStyle w:val="CharStyle16"/>
        </w:rPr>
        <w:t>Исследовав материалы дела, заслушав представителей сторон и оценив 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совокупности представленные документы, Комиссия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 материалов дела усматривается, что МКУ «Муниципальные закупки города Тюмени» являясь уполномоченным учреждением, выступило организатором проведения электронного аукциона на поставку автопавильонов, с начальной (максимальной) ценой контракта </w:t>
      </w:r>
      <w:r>
        <w:rPr>
          <w:rStyle w:val="CharStyle16"/>
          <w:lang w:val="en-US" w:eastAsia="en-US"/>
        </w:rPr>
        <w:t xml:space="preserve">61 023 666,57 </w:t>
      </w:r>
      <w:r>
        <w:rPr>
          <w:rStyle w:val="CharStyle16"/>
        </w:rPr>
        <w:t>рублей, в интересах заказчика Департамента дорожной инфраструктуры и транспорта Администрации города Тюмени.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Информация о закупке была размещена </w:t>
      </w:r>
      <w:r>
        <w:rPr>
          <w:rStyle w:val="CharStyle16"/>
          <w:lang w:val="en-US" w:eastAsia="en-US"/>
        </w:rPr>
        <w:t xml:space="preserve">28.04.2025 </w:t>
      </w:r>
      <w:r>
        <w:rPr>
          <w:rStyle w:val="CharStyle16"/>
        </w:rPr>
        <w:t xml:space="preserve">на официальном сайте ЕИС в сфере закупок: 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rStyle w:val="CharStyle16"/>
          <w:lang w:val="en-US" w:eastAsia="en-US"/>
        </w:rPr>
        <w:t>http://zakupki.gov.ru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rPr>
          <w:rStyle w:val="CharStyle16"/>
        </w:rPr>
        <w:t xml:space="preserve">с реестровым номером закупки </w:t>
      </w:r>
      <w:r>
        <w:rPr>
          <w:rStyle w:val="CharStyle16"/>
          <w:lang w:val="en-US" w:eastAsia="en-US"/>
        </w:rPr>
        <w:t>0167300000525000370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Адрес электронной площадки в информационно-телекоммуникационной сети «Интернет» определенной для проведения закупки </w:t>
      </w:r>
      <w:r>
        <w:fldChar w:fldCharType="begin"/>
      </w:r>
      <w:r>
        <w:rPr/>
        <w:instrText> HYPERLINK "http://www.tektorg.ru" </w:instrText>
      </w:r>
      <w:r>
        <w:fldChar w:fldCharType="separate"/>
      </w:r>
      <w:r>
        <w:rPr>
          <w:rStyle w:val="CharStyle16"/>
          <w:lang w:val="en-US" w:eastAsia="en-US"/>
        </w:rPr>
        <w:t>http://www.tektorg.ru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Закона о контрактной системе предусмотрено, что закупка товара, работы, услуги для обеспечения государственных или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закупка)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>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 xml:space="preserve">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конкурентные способы) или осуществляют закупки у единственного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предусмотрено, извещение об осуществлении закупки, если иное не предусмотрено настоящим Федеральным законом, должно содержать следующие электронные документы: проект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34 </w:t>
      </w:r>
      <w:r>
        <w:rPr>
          <w:rStyle w:val="CharStyle16"/>
        </w:rPr>
        <w:t>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b/>
          <w:bCs/>
        </w:rPr>
        <w:t xml:space="preserve">По первому доводу </w:t>
      </w:r>
      <w:r>
        <w:rPr>
          <w:rStyle w:val="CharStyle16"/>
        </w:rPr>
        <w:t>жалобы заявителя Комиссия отмечает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34 </w:t>
      </w:r>
      <w:r>
        <w:rPr>
          <w:rStyle w:val="CharStyle16"/>
        </w:rPr>
        <w:t xml:space="preserve">Закона о контрактной системе предусмотрено, что в контракт включаются обязательное условие о порядке и сроках оплаты товара, работы или услуги, в том числе с учетом положений части </w:t>
      </w:r>
      <w:r>
        <w:rPr>
          <w:rStyle w:val="CharStyle16"/>
          <w:lang w:val="en-US" w:eastAsia="en-US"/>
        </w:rPr>
        <w:t xml:space="preserve">13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37 </w:t>
      </w:r>
      <w:r>
        <w:rPr>
          <w:rStyle w:val="CharStyle16"/>
        </w:rPr>
        <w:t xml:space="preserve">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</w:t>
      </w:r>
      <w:r>
        <w:rPr>
          <w:rStyle w:val="CharStyle16"/>
          <w:lang w:val="en-US" w:eastAsia="en-US"/>
        </w:rPr>
        <w:t xml:space="preserve">96 </w:t>
      </w:r>
      <w:r>
        <w:rPr>
          <w:rStyle w:val="CharStyle16"/>
        </w:rPr>
        <w:t>настоящего Федерального закона требования обеспечения гарантийных обязательств.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1.2 </w:t>
      </w:r>
      <w:r>
        <w:rPr>
          <w:rStyle w:val="CharStyle16"/>
        </w:rPr>
        <w:t xml:space="preserve">контракта предусмотрено, что заказчик поручает, а поставщик принимает на себя в обусловленные контрактом сроки обязанности по поставке и передаче заказчику автопавильонов согласно спецификации, характеристикам товара, изображению товара (приложения </w:t>
      </w:r>
      <w:r>
        <w:rPr>
          <w:rStyle w:val="CharStyle16"/>
          <w:lang w:val="en-US" w:eastAsia="en-US"/>
        </w:rPr>
        <w:t xml:space="preserve">№№ 1-4 </w:t>
      </w:r>
      <w:r>
        <w:rPr>
          <w:rStyle w:val="CharStyle16"/>
        </w:rPr>
        <w:t>к контракту), а заказчик обязуется, в свою очередь, принять и оплатить поставленный товар в соответствии с условиями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2.7 </w:t>
      </w:r>
      <w:r>
        <w:rPr>
          <w:rStyle w:val="CharStyle16"/>
        </w:rPr>
        <w:t>контракта предусмотрено, что оплата товара, поставляемого в соответствии с контрактом, производится в безналичном порядке путем перечисления заказчиком денежных средств на расчетный счет поставщика.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3.3 </w:t>
      </w:r>
      <w:r>
        <w:rPr>
          <w:rStyle w:val="CharStyle16"/>
        </w:rPr>
        <w:t>контракта предусмотрено, что дата поставки и установки товара является исходной для определения имущественных санкций в случаях нарушения сроков поставки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4.1 </w:t>
      </w:r>
      <w:r>
        <w:rPr>
          <w:rStyle w:val="CharStyle16"/>
        </w:rPr>
        <w:t>контракта предусмотрено, что поставщик обязуется поставить и установить товар по указанному в заявке заказчика адресу в количестве, комплектности и сроки, предусмотренные контрактом.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заседании Комиссии Тюменского УФАС России представитель заказчика пояснила, что для расчета начальной (максимальной) цены контракта заказчиком направлен запрос о предоставлении ценовой информации. Согласно запросу, стоимость поставки включает в себя: стоимость всех расходов, связанных с поставкой товара, стоимость расходных материалов, установки, налоги, сборы и иные обязательные платежи.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Аналогичная информация содержится в обосновании начальной (максимальной) цены контракта (приложение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извещению об осуществлении закупки), пункте </w:t>
      </w:r>
      <w:r>
        <w:rPr>
          <w:rStyle w:val="CharStyle16"/>
          <w:lang w:val="en-US" w:eastAsia="en-US"/>
        </w:rPr>
        <w:t xml:space="preserve">2.2 </w:t>
      </w:r>
      <w:r>
        <w:rPr>
          <w:rStyle w:val="CharStyle16"/>
        </w:rPr>
        <w:t>проекта муниципального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Кроме того, установка предусмотрена пунктами </w:t>
      </w:r>
      <w:r>
        <w:rPr>
          <w:rStyle w:val="CharStyle16"/>
          <w:lang w:val="en-US" w:eastAsia="en-US"/>
        </w:rPr>
        <w:t xml:space="preserve">3.2, 3.3, 4.2, 4.5, 7.2.3, 7.3.1, 7.3.6, 7.3.12 </w:t>
      </w:r>
      <w:r>
        <w:rPr>
          <w:rStyle w:val="CharStyle16"/>
        </w:rPr>
        <w:t>проекта муниципального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установка товара входит в стоимость поставки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Указанный довод жалобы заявителя Комиссия Тюменского УФАС России признает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b/>
          <w:bCs/>
        </w:rPr>
        <w:t xml:space="preserve">По второму доводу </w:t>
      </w:r>
      <w:r>
        <w:rPr>
          <w:rStyle w:val="CharStyle16"/>
        </w:rPr>
        <w:t>жалобы заявителя Комиссия отмечает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19 </w:t>
      </w:r>
      <w:r>
        <w:rPr>
          <w:rStyle w:val="CharStyle16"/>
        </w:rPr>
        <w:t>Закона о контрактной системе предусмотрено, что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5.1 </w:t>
      </w:r>
      <w:r>
        <w:rPr>
          <w:rStyle w:val="CharStyle16"/>
        </w:rPr>
        <w:t>контракта предусмотрено, что качество поставляемого и установленного товара должно соответствовать требованиям контракта и действующего законодательства Российской Федерации и муниципальных правовых актов города Тюмени, в том числе: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ГОСТ </w:t>
      </w:r>
      <w:r>
        <w:rPr>
          <w:rStyle w:val="CharStyle16"/>
          <w:lang w:val="en-US" w:eastAsia="en-US"/>
        </w:rPr>
        <w:t xml:space="preserve">22233-2018. </w:t>
      </w:r>
      <w:r>
        <w:rPr>
          <w:rStyle w:val="CharStyle16"/>
        </w:rPr>
        <w:t>Межгосударственный стандарт. Профили прессованные из алюминиевых сплавов для ограждающих конструкций. Технические условия;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ГОСТ </w:t>
      </w:r>
      <w:r>
        <w:rPr>
          <w:rStyle w:val="CharStyle16"/>
          <w:lang w:val="en-US" w:eastAsia="en-US"/>
        </w:rPr>
        <w:t xml:space="preserve">7473-2010 (EN 206-1:2000). </w:t>
      </w:r>
      <w:r>
        <w:rPr>
          <w:rStyle w:val="CharStyle16"/>
        </w:rPr>
        <w:t>Межгосударственный стандарт. Смеси бетонные. Технические условия;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ГОСТ </w:t>
      </w:r>
      <w:r>
        <w:rPr>
          <w:rStyle w:val="CharStyle16"/>
          <w:lang w:val="en-US" w:eastAsia="en-US"/>
        </w:rPr>
        <w:t xml:space="preserve">34028-2016. </w:t>
      </w:r>
      <w:r>
        <w:rPr>
          <w:rStyle w:val="CharStyle16"/>
        </w:rPr>
        <w:t>Межгосударственный стандарт. Прокат арматурный для железобетонных конструкций. Технические условия;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ГОСТ </w:t>
      </w:r>
      <w:r>
        <w:rPr>
          <w:rStyle w:val="CharStyle16"/>
          <w:lang w:val="en-US" w:eastAsia="en-US"/>
        </w:rPr>
        <w:t xml:space="preserve">24379.1-2012. </w:t>
      </w:r>
      <w:r>
        <w:rPr>
          <w:rStyle w:val="CharStyle16"/>
        </w:rPr>
        <w:t>Межгосударственный стандарт. Болты фундаментные. Конструкция и размеры;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ГОСТ </w:t>
      </w:r>
      <w:r>
        <w:rPr>
          <w:rStyle w:val="CharStyle16"/>
          <w:lang w:val="en-US" w:eastAsia="en-US"/>
        </w:rPr>
        <w:t xml:space="preserve">4751-73. </w:t>
      </w:r>
      <w:r>
        <w:rPr>
          <w:rStyle w:val="CharStyle16"/>
        </w:rPr>
        <w:t>Государственный стандарт Союза ССР. Рым-болты. Технические условия;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Распоряжению Администрации города Тюмени от </w:t>
      </w:r>
      <w:r>
        <w:rPr>
          <w:rStyle w:val="CharStyle16"/>
          <w:lang w:val="en-US" w:eastAsia="en-US"/>
        </w:rPr>
        <w:t xml:space="preserve">10.12.2018 № </w:t>
      </w:r>
      <w:r>
        <w:rPr>
          <w:rStyle w:val="CharStyle16"/>
        </w:rPr>
        <w:t>346-рк «Об элементах обустройства автомобильных дорог»;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Решению Тюменской городской Думы от </w:t>
      </w:r>
      <w:r>
        <w:rPr>
          <w:rStyle w:val="CharStyle16"/>
          <w:lang w:val="en-US" w:eastAsia="en-US"/>
        </w:rPr>
        <w:t xml:space="preserve">27.06.2019 N 136 </w:t>
      </w:r>
      <w:r>
        <w:rPr>
          <w:rStyle w:val="CharStyle16"/>
        </w:rPr>
        <w:t>«О Правилах благоустройства территории города Тюмени»;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ГОСТ, СНиП, ОДН и другим нормативно-правовым актам, в части касающейся выполнения работ.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приказа Федерального агентства по техническому регулированию и метрологии от </w:t>
      </w:r>
      <w:r>
        <w:rPr>
          <w:rStyle w:val="CharStyle16"/>
          <w:lang w:val="en-US" w:eastAsia="en-US"/>
        </w:rPr>
        <w:t xml:space="preserve">15.04.2025 № </w:t>
      </w:r>
      <w:r>
        <w:rPr>
          <w:rStyle w:val="CharStyle16"/>
        </w:rPr>
        <w:t xml:space="preserve">300-ст «О введении в действие межгосударственного стандарта» предусмотрено введение в действие в качестве национального стандарта на территории Российской Федерации межгосударственный стандарт ГОСТ </w:t>
      </w:r>
      <w:r>
        <w:rPr>
          <w:rStyle w:val="CharStyle16"/>
          <w:lang w:val="en-US" w:eastAsia="en-US"/>
        </w:rPr>
        <w:t xml:space="preserve">22233-2025 </w:t>
      </w:r>
      <w:r>
        <w:rPr>
          <w:rStyle w:val="CharStyle16"/>
        </w:rPr>
        <w:t xml:space="preserve">«Профили прессованные из алюминиевых сплавов для ограждающих конструкций. Технические условия» с датой введения в действие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сентября </w:t>
      </w:r>
      <w:r>
        <w:rPr>
          <w:rStyle w:val="CharStyle16"/>
          <w:lang w:val="en-US" w:eastAsia="en-US"/>
        </w:rPr>
        <w:t xml:space="preserve">2025 </w:t>
      </w:r>
      <w:r>
        <w:rPr>
          <w:rStyle w:val="CharStyle16"/>
        </w:rPr>
        <w:t xml:space="preserve">года с правом досрочного применения. ГОСТ </w:t>
      </w:r>
      <w:r>
        <w:rPr>
          <w:rStyle w:val="CharStyle16"/>
          <w:lang w:val="en-US" w:eastAsia="en-US"/>
        </w:rPr>
        <w:t xml:space="preserve">22233-2025 </w:t>
      </w:r>
      <w:r>
        <w:rPr>
          <w:rStyle w:val="CharStyle16"/>
        </w:rPr>
        <w:t xml:space="preserve">введен взамен ГОСТ </w:t>
      </w:r>
      <w:r>
        <w:rPr>
          <w:rStyle w:val="CharStyle16"/>
          <w:lang w:val="en-US" w:eastAsia="en-US"/>
        </w:rPr>
        <w:t>22233-2018.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Тюменского УФАС России отмечает, что право досрочного применения, предоставленное Росстандартом не является обязанностью. Следовательно, заказчиком в составе извещения об осуществлении закупки установлены действующие межгосударственные стандарты.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Указанный довод жалобы заявителя Комиссия Тюменского УФАС России признает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Комиссия Тюменского УФАС России по результатам рассмотрения всех доводов жалобы заявителя, проведения на основании 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both"/>
      </w:pPr>
      <w:r>
        <w:rPr>
          <w:rStyle w:val="CharStyle16"/>
        </w:rPr>
        <w:t>контрактной системе в полном объеме внеплановой проверки всех без исключения положений извещения об осуществлении закупки (не ограничиваясь доводами жалобы заявителя), а также изучила все электронные отчеты, полученные из ГИС «Независимый регистратор» не установила каких-либо иных признаков нарушения законодательства о контрактной системе и полагает необходимым признать жалобу ООО «Мастерские по реставрации памятников старины «Ренессанс»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00" w:right="0" w:firstLine="700"/>
        <w:jc w:val="both"/>
      </w:pPr>
      <w:r>
        <w:rPr>
          <w:rStyle w:val="CharStyle16"/>
        </w:rPr>
        <w:t xml:space="preserve">На основании изложенного, руководствуясь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00" w:right="0" w:firstLine="700"/>
        <w:jc w:val="both"/>
      </w:pPr>
      <w:r>
        <w:rPr>
          <w:rStyle w:val="CharStyle16"/>
        </w:rPr>
        <w:t xml:space="preserve">Признать жалобу ООО «Мастерские по реставрации памятников старины «Ренессанс» </w:t>
      </w:r>
      <w:r>
        <w:rPr>
          <w:rStyle w:val="CharStyle16"/>
          <w:b/>
          <w:bCs/>
        </w:rPr>
        <w:t>необоснованной</w:t>
      </w:r>
      <w:r>
        <w:rPr>
          <w:rStyle w:val="CharStyle16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00" w:right="0" w:firstLine="700"/>
        <w:jc w:val="both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paragraph">
                  <wp:posOffset>1892300</wp:posOffset>
                </wp:positionV>
                <wp:extent cx="1344295" cy="25019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0.149999999999999pt;margin-top:149.pt;width:105.85000000000001pt;height:19.699999999999999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0" distR="1813560" simplePos="0" relativeHeight="125829382" behindDoc="0" locked="0" layoutInCell="1" allowOverlap="1">
            <wp:simplePos x="0" y="0"/>
            <wp:positionH relativeFrom="page">
              <wp:posOffset>2788285</wp:posOffset>
            </wp:positionH>
            <wp:positionV relativeFrom="paragraph">
              <wp:posOffset>1981200</wp:posOffset>
            </wp:positionV>
            <wp:extent cx="298450" cy="34734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3175635</wp:posOffset>
                </wp:positionH>
                <wp:positionV relativeFrom="paragraph">
                  <wp:posOffset>2042160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8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8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0.05000000000001pt;margin-top:160.8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8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8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настоящее решение может быть оспорено в арбитражном суде в течение трех месяцев со дня его принятия.</w:t>
      </w:r>
    </w:p>
    <w:tbl>
      <w:tblPr>
        <w:tblOverlap w:val="never"/>
        <w:jc w:val="left"/>
        <w:tblLayout w:type="fixed"/>
      </w:tblPr>
      <w:tblGrid>
        <w:gridCol w:w="3504"/>
        <w:gridCol w:w="1795"/>
      </w:tblGrid>
      <w:tr>
        <w:trPr>
          <w:trHeight w:val="6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framePr w:w="5299" w:h="1459" w:hSpace="3115" w:vSpace="86" w:wrap="notBeside" w:vAnchor="text" w:hAnchor="text" w:x="3116" w:y="87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7"/>
                <w:rFonts w:ascii="Georgia" w:eastAsia="Georgia" w:hAnsi="Georgia" w:cs="Georgia"/>
                <w:color w:val="2A2A2A"/>
                <w:sz w:val="11"/>
                <w:szCs w:val="11"/>
              </w:rPr>
              <w:t xml:space="preserve">Подлинник электронного документа, подписанного </w:t>
            </w:r>
            <w:r>
              <w:rPr>
                <w:rStyle w:val="CharStyle27"/>
                <w:rFonts w:ascii="Georgia" w:eastAsia="Georgia" w:hAnsi="Georgia" w:cs="Georgia"/>
                <w:sz w:val="11"/>
                <w:szCs w:val="11"/>
              </w:rPr>
              <w:t xml:space="preserve">ЭП, </w:t>
            </w:r>
            <w:r>
              <w:rPr>
                <w:rStyle w:val="CharStyle27"/>
                <w:rFonts w:ascii="Georgia" w:eastAsia="Georgia" w:hAnsi="Georgia" w:cs="Georgia"/>
                <w:color w:val="2A2A2A"/>
                <w:sz w:val="11"/>
                <w:szCs w:val="11"/>
              </w:rPr>
              <w:t>хранится в системе электронного документооборота ФАС России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framePr w:w="5299" w:h="1459" w:hSpace="3115" w:vSpace="86" w:wrap="notBeside" w:vAnchor="text" w:hAnchor="text" w:x="3116" w:y="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7"/>
              </w:rPr>
              <w:t>Н.В. Логинова</w:t>
            </w:r>
          </w:p>
        </w:tc>
      </w:tr>
      <w:tr>
        <w:trPr>
          <w:trHeight w:val="139" w:hRule="exact"/>
        </w:trPr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26"/>
              <w:keepNext w:val="0"/>
              <w:keepLines w:val="0"/>
              <w:framePr w:w="5299" w:h="1459" w:hSpace="3115" w:vSpace="86" w:wrap="notBeside" w:vAnchor="text" w:hAnchor="text" w:x="3116" w:y="87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  <w:tab w:pos="343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7"/>
                <w:rFonts w:ascii="Georgia" w:eastAsia="Georgia" w:hAnsi="Georgia" w:cs="Georgia"/>
                <w:color w:val="FFFFFF"/>
                <w:sz w:val="12"/>
                <w:szCs w:val="12"/>
              </w:rPr>
              <w:t>1</w:t>
            </w:r>
            <w:r>
              <w:rPr>
                <w:rStyle w:val="CharStyle27"/>
                <w:rFonts w:ascii="Georgia" w:eastAsia="Georgia" w:hAnsi="Georgia" w:cs="Georgia"/>
                <w:color w:val="FFFFFF"/>
                <w:sz w:val="12"/>
                <w:szCs w:val="12"/>
              </w:rPr>
              <w:tab/>
            </w:r>
            <w:r>
              <w:rPr>
                <w:rStyle w:val="CharStyle27"/>
                <w:rFonts w:ascii="Georgia" w:eastAsia="Georgia" w:hAnsi="Georgia" w:cs="Georgia"/>
                <w:color w:val="E7E7E7"/>
                <w:sz w:val="12"/>
                <w:szCs w:val="12"/>
              </w:rPr>
              <w:t>СВЕДЕНИЯ О СЕРТИФИКАТЕ ЭП</w:t>
              <w:tab/>
            </w:r>
            <w:r>
              <w:rPr>
                <w:rStyle w:val="CharStyle27"/>
                <w:rFonts w:ascii="Georgia" w:eastAsia="Georgia" w:hAnsi="Georgia" w:cs="Georgia"/>
                <w:color w:val="FFFFFF"/>
                <w:sz w:val="12"/>
                <w:szCs w:val="12"/>
              </w:rPr>
              <w:t>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5299" w:h="1459" w:hSpace="3115" w:vSpace="86" w:wrap="notBeside" w:vAnchor="text" w:hAnchor="text" w:x="3116" w:y="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framePr w:w="5299" w:h="1459" w:hSpace="3115" w:vSpace="86" w:wrap="notBeside" w:vAnchor="text" w:hAnchor="text" w:x="3116" w:y="87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7"/>
                <w:rFonts w:ascii="Arial" w:eastAsia="Arial" w:hAnsi="Arial" w:cs="Arial"/>
                <w:color w:val="444444"/>
                <w:sz w:val="12"/>
                <w:szCs w:val="12"/>
              </w:rPr>
              <w:t xml:space="preserve">Кому выдан: </w:t>
            </w:r>
            <w:r>
              <w:rPr>
                <w:rStyle w:val="CharStyle27"/>
                <w:rFonts w:ascii="Arial" w:eastAsia="Arial" w:hAnsi="Arial" w:cs="Arial"/>
                <w:sz w:val="12"/>
                <w:szCs w:val="12"/>
              </w:rPr>
              <w:t xml:space="preserve">Логинова Надежда Владимировна </w:t>
            </w:r>
            <w:r>
              <w:rPr>
                <w:rStyle w:val="CharStyle27"/>
                <w:rFonts w:ascii="Arial" w:eastAsia="Arial" w:hAnsi="Arial" w:cs="Arial"/>
                <w:color w:val="444444"/>
                <w:sz w:val="12"/>
                <w:szCs w:val="12"/>
              </w:rPr>
              <w:t xml:space="preserve">Сертификат </w:t>
            </w:r>
            <w:r>
              <w:rPr>
                <w:rStyle w:val="CharStyle27"/>
                <w:rFonts w:ascii="Arial" w:eastAsia="Arial" w:hAnsi="Arial" w:cs="Arial"/>
                <w:color w:val="2A2A2A"/>
                <w:sz w:val="12"/>
                <w:szCs w:val="12"/>
              </w:rPr>
              <w:t xml:space="preserve">№ </w:t>
            </w:r>
            <w:r>
              <w:rPr>
                <w:rStyle w:val="CharStyle27"/>
                <w:rFonts w:ascii="Arial" w:eastAsia="Arial" w:hAnsi="Arial" w:cs="Arial"/>
                <w:color w:val="444444"/>
                <w:sz w:val="12"/>
                <w:szCs w:val="12"/>
              </w:rPr>
              <w:t>0С38В9497С61</w:t>
            </w:r>
            <w:r>
              <w:rPr>
                <w:rStyle w:val="CharStyle27"/>
                <w:rFonts w:ascii="Arial" w:eastAsia="Arial" w:hAnsi="Arial" w:cs="Arial"/>
                <w:color w:val="444444"/>
                <w:sz w:val="12"/>
                <w:szCs w:val="12"/>
                <w:lang w:val="en-US" w:eastAsia="en-US"/>
              </w:rPr>
              <w:t>0FE821D81E97294C83EF</w:t>
            </w:r>
          </w:p>
          <w:p>
            <w:pPr>
              <w:pStyle w:val="Style26"/>
              <w:keepNext w:val="0"/>
              <w:keepLines w:val="0"/>
              <w:framePr w:w="5299" w:h="1459" w:hSpace="3115" w:vSpace="86" w:wrap="notBeside" w:vAnchor="text" w:hAnchor="text" w:x="3116" w:y="87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7"/>
                <w:rFonts w:ascii="Arial" w:eastAsia="Arial" w:hAnsi="Arial" w:cs="Arial"/>
                <w:color w:val="444444"/>
                <w:sz w:val="12"/>
                <w:szCs w:val="12"/>
              </w:rPr>
              <w:t>Действителен с 27.05.2024 по 20.08.2025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5299" w:h="1459" w:hSpace="3115" w:vSpace="86" w:wrap="notBeside" w:vAnchor="text" w:hAnchor="text" w:x="3116" w:y="8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35"/>
        <w:keepNext w:val="0"/>
        <w:keepLines w:val="0"/>
        <w:framePr w:w="2952" w:h="394" w:hSpace="7334" w:wrap="notBeside" w:vAnchor="text" w:hAnchor="text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6"/>
        </w:rPr>
        <w:t>Председатель комиссии:</w:t>
      </w:r>
    </w:p>
    <w:p>
      <w:pPr>
        <w:pStyle w:val="Style35"/>
        <w:keepNext w:val="0"/>
        <w:keepLines w:val="0"/>
        <w:framePr w:w="1560" w:h="394" w:hSpace="8726" w:wrap="notBeside" w:vAnchor="text" w:hAnchor="text" w:x="6634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6"/>
        </w:rPr>
        <w:t>И.Г. Назаров</w:t>
      </w: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1"/>
          <w:color w:val="E7E7E7"/>
          <w:sz w:val="12"/>
          <w:szCs w:val="12"/>
        </w:rPr>
        <w:t>СВЕДЕНИЯ О СЕРТИФИКАТЕ ЭП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9"/>
        </w:rPr>
        <w:t xml:space="preserve">Кому выдан: </w:t>
      </w:r>
      <w:r>
        <w:rPr>
          <w:rStyle w:val="CharStyle39"/>
          <w:color w:val="000000"/>
        </w:rPr>
        <w:t>Назаров Игорь Геннадьевич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9"/>
        </w:rPr>
        <w:t xml:space="preserve">Сертификат </w:t>
      </w:r>
      <w:r>
        <w:rPr>
          <w:rStyle w:val="CharStyle39"/>
          <w:color w:val="2A2A2A"/>
        </w:rPr>
        <w:t xml:space="preserve">№ </w:t>
      </w:r>
      <w:r>
        <w:rPr>
          <w:rStyle w:val="CharStyle39"/>
          <w:lang w:val="en-US" w:eastAsia="en-US"/>
        </w:rPr>
        <w:t>00BF4A51C3DEFFF34CF2DC5291490E994</w:t>
      </w:r>
      <w:r>
        <w:rPr>
          <w:rStyle w:val="CharStyle39"/>
          <w:lang w:val="en-US" w:eastAsia="en-US"/>
        </w:rPr>
        <w:t>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9"/>
        </w:rPr>
        <w:t>Действителен с 23.12.2024 по 18.03.2026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12090" distB="0" distL="0" distR="0" simplePos="0" relativeHeight="125829383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212090</wp:posOffset>
                </wp:positionV>
                <wp:extent cx="1722120" cy="25908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1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0.pt;margin-top:16.699999999999999pt;width:135.59999999999999pt;height:20.400000000000002pt;z-index:-125829370;mso-wrap-distance-left:0;mso-wrap-distance-top:16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1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1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67640" distL="0" distR="0" simplePos="0" relativeHeight="125829385" behindDoc="0" locked="0" layoutInCell="1" allowOverlap="1">
                <wp:simplePos x="0" y="0"/>
                <wp:positionH relativeFrom="page">
                  <wp:posOffset>4979670</wp:posOffset>
                </wp:positionH>
                <wp:positionV relativeFrom="paragraph">
                  <wp:posOffset>50800</wp:posOffset>
                </wp:positionV>
                <wp:extent cx="120396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В.В. Романенко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2.10000000000002pt;margin-top:4.pt;width:94.799999999999997pt;height:19.900000000000002pt;z-index:-125829368;mso-wrap-distance-left:0;mso-wrap-distance-top:4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В.В. Романенко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1"/>
          <w:color w:val="E7E7E7"/>
          <w:sz w:val="12"/>
          <w:szCs w:val="12"/>
        </w:rPr>
        <w:t>СВЕДЕНИЯ О СЕРТИФИКАТЕ ЭП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9"/>
        </w:rPr>
        <w:t xml:space="preserve">Кому выдан: </w:t>
      </w:r>
      <w:r>
        <w:rPr>
          <w:rStyle w:val="CharStyle39"/>
          <w:color w:val="000000"/>
        </w:rPr>
        <w:t>Романенко Вадим Владимирович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9"/>
        </w:rPr>
        <w:t xml:space="preserve">Сертификат </w:t>
      </w:r>
      <w:r>
        <w:rPr>
          <w:rStyle w:val="CharStyle39"/>
          <w:color w:val="2A2A2A"/>
        </w:rPr>
        <w:t xml:space="preserve">№ </w:t>
      </w:r>
      <w:r>
        <w:rPr>
          <w:rStyle w:val="CharStyle39"/>
          <w:lang w:val="en-US" w:eastAsia="en-US"/>
        </w:rPr>
        <w:t>00E120FF9D284A25B6D1D85C9073629D8E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9"/>
        </w:rPr>
        <w:t>Действителен с 20.01.2025 по 15.04.2026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67" w:right="453" w:bottom="1211" w:left="116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708025</wp:posOffset>
              </wp:positionH>
              <wp:positionV relativeFrom="page">
                <wp:posOffset>9987915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2025-3558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.75pt;margin-top:786.45000000000005pt;width:51.6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2025-3558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2025-3558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1.6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2025-3558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 (6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1">
    <w:name w:val="Body text (3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5">
    <w:name w:val="Heading #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27">
    <w:name w:val="Other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6">
    <w:name w:val="Table caption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9">
    <w:name w:val="Body text (2)_"/>
    <w:basedOn w:val="DefaultParagraphFont"/>
    <w:link w:val="Style38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after="15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18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Body text (6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0">
    <w:name w:val="Body text (3)"/>
    <w:basedOn w:val="Normal"/>
    <w:link w:val="CharStyle21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4">
    <w:name w:val="Heading #1"/>
    <w:basedOn w:val="Normal"/>
    <w:link w:val="CharStyle25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26">
    <w:name w:val="Other"/>
    <w:basedOn w:val="Normal"/>
    <w:link w:val="CharStyle2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5">
    <w:name w:val="Table caption"/>
    <w:basedOn w:val="Normal"/>
    <w:link w:val="CharStyle3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8">
    <w:name w:val="Body text (2)"/>
    <w:basedOn w:val="Normal"/>
    <w:link w:val="CharStyle39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