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3744595</wp:posOffset>
                </wp:positionH>
                <wp:positionV relativeFrom="paragraph">
                  <wp:posOffset>12700</wp:posOffset>
                </wp:positionV>
                <wp:extent cx="496570" cy="67056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670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4.85000000000002pt;margin-top:1.pt;width:39.100000000000001pt;height:52.8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®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5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5"/>
        </w:rPr>
        <w:t>ул. Ленина, 40, г. Майкоп, 385000</w:t>
        <w:br/>
        <w:t>тел. (8772) 57-05-22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5"/>
          <w:lang w:val="en-US" w:eastAsia="en-US"/>
        </w:rPr>
        <w:t>to01@fas.gov.ru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28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sz w:val="30"/>
          <w:szCs w:val="30"/>
          <w:u w:val="single"/>
        </w:rPr>
        <w:t>09.06.2025</w:t>
      </w:r>
      <w:r>
        <w:fldChar w:fldCharType="end"/>
      </w:r>
      <w:r>
        <w:rPr>
          <w:rStyle w:val="CharStyle13"/>
          <w:sz w:val="30"/>
          <w:szCs w:val="30"/>
        </w:rPr>
        <w:tab/>
        <w:t xml:space="preserve">№ </w:t>
      </w:r>
      <w:r>
        <w:rPr>
          <w:rStyle w:val="CharStyle13"/>
          <w:sz w:val="30"/>
          <w:szCs w:val="30"/>
          <w:u w:val="single"/>
        </w:rPr>
        <w:t>1456/25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7"/>
          <w:rFonts w:ascii="Times New Roman" w:eastAsia="Times New Roman" w:hAnsi="Times New Roman" w:cs="Times New Roman"/>
          <w:b/>
          <w:bCs/>
          <w:color w:val="46619A"/>
          <w:sz w:val="22"/>
          <w:szCs w:val="2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5"/>
          <w:b/>
          <w:bCs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Г ъэ1орыш1ап!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5"/>
        </w:rPr>
        <w:t>Лениным иур.. 40, къ. Мыекъуапэ, 385000</w:t>
        <w:br/>
        <w:t>тел./факс: (8772) 57-05-22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5"/>
          <w:lang w:val="en-US" w:eastAsia="en-US"/>
        </w:rPr>
        <w:t>to01@fas.gov.ru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Комитет Республики Адыгея по регулированию контрактной системы в сфере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"mailto:zakupki@adygheya.gov.ru" </w:instrText>
      </w:r>
      <w:r>
        <w:fldChar w:fldCharType="separate"/>
      </w:r>
      <w:r>
        <w:rPr>
          <w:rStyle w:val="CharStyle13"/>
          <w:lang w:val="en-US" w:eastAsia="en-US"/>
        </w:rPr>
        <w:t>zakupki@adygheya.gov.ru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46" w:right="1031" w:bottom="1221" w:left="1111" w:header="0" w:footer="3" w:gutter="0"/>
          <w:pgNumType w:start="1"/>
          <w:cols w:num="2" w:space="720" w:equalWidth="0">
            <w:col w:w="4133" w:space="859"/>
            <w:col w:w="4766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ИП Замалиев Адель Ильдарович </w:t>
      </w:r>
      <w:r>
        <w:rPr>
          <w:rStyle w:val="CharStyle13"/>
          <w:lang w:val="en-US" w:eastAsia="en-US"/>
        </w:rPr>
        <w:t xml:space="preserve">420095, </w:t>
      </w:r>
      <w:r>
        <w:rPr>
          <w:rStyle w:val="CharStyle13"/>
        </w:rPr>
        <w:t xml:space="preserve">РЕСПУБЛИКА ТАТАРСТАН (ТАТАРСТАН), г.о. ГОРОД КАЗАНЬ, Г КАЗАНЬ, УЛ БЛЮХЕРА, Д. </w:t>
      </w:r>
      <w:r>
        <w:rPr>
          <w:rStyle w:val="CharStyle13"/>
          <w:lang w:val="en-US" w:eastAsia="en-US"/>
        </w:rPr>
        <w:t xml:space="preserve">4, </w:t>
      </w:r>
      <w:r>
        <w:rPr>
          <w:rStyle w:val="CharStyle13"/>
        </w:rPr>
        <w:t xml:space="preserve">КВ. </w:t>
      </w:r>
      <w:r>
        <w:rPr>
          <w:rStyle w:val="CharStyle13"/>
          <w:lang w:val="en-US" w:eastAsia="en-US"/>
        </w:rPr>
        <w:t xml:space="preserve">257 </w:t>
      </w:r>
      <w:r>
        <w:fldChar w:fldCharType="begin"/>
      </w:r>
      <w:r>
        <w:rPr/>
        <w:instrText> HYPERLINK "mailto:boriszam02@mail.ru" </w:instrText>
      </w:r>
      <w:r>
        <w:fldChar w:fldCharType="separate"/>
      </w:r>
      <w:r>
        <w:rPr>
          <w:rStyle w:val="CharStyle13"/>
          <w:lang w:val="en-US" w:eastAsia="en-US"/>
        </w:rPr>
        <w:t>boriszam02@mail.ru</w:t>
      </w:r>
      <w:r>
        <w:fldChar w:fldCharType="end"/>
      </w:r>
    </w:p>
    <w:p>
      <w:pPr>
        <w:widowControl w:val="0"/>
        <w:spacing w:line="75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0" w:bottom="98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both"/>
      </w:pPr>
      <w:r>
        <w:rPr>
          <w:rStyle w:val="CharStyle13"/>
        </w:rPr>
        <w:t>ГБУЗ РА "Адыгейская республиканская клиническая больница"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both"/>
      </w:pPr>
      <w:r>
        <w:rPr>
          <w:rStyle w:val="CharStyle13"/>
        </w:rPr>
        <w:t>385000, г. Майкоп, ул. Жуковского,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020" w:right="0" w:firstLine="0"/>
        <w:jc w:val="both"/>
      </w:pPr>
      <w:r>
        <w:fldChar w:fldCharType="begin"/>
      </w:r>
      <w:r>
        <w:rPr/>
        <w:instrText> HYPERLINK "mailto:arkb.torgi@mail.ru" </w:instrText>
      </w:r>
      <w:r>
        <w:fldChar w:fldCharType="separate"/>
      </w:r>
      <w:r>
        <w:rPr>
          <w:rStyle w:val="CharStyle13"/>
          <w:lang w:val="en-US" w:eastAsia="en-US"/>
        </w:rPr>
        <w:t>arkb.torgi@mail.ru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0"/>
        <w:jc w:val="center"/>
      </w:pPr>
      <w:r>
        <w:rPr>
          <w:rStyle w:val="CharStyle13"/>
        </w:rPr>
        <w:t>РЕШЕНИЕ</w:t>
        <w:br/>
        <w:t>по делу №001/06/33-249/2025 о нарушении законодательства</w:t>
        <w:br/>
        <w:t>о контрактной системе в сфере закупок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80" w:line="269" w:lineRule="auto"/>
        <w:ind w:left="0" w:right="0" w:firstLine="0"/>
        <w:jc w:val="left"/>
      </w:pPr>
      <w:r>
        <w:rPr>
          <w:rStyle w:val="CharStyle13"/>
        </w:rPr>
        <w:t>09 июня 2025 года</w:t>
        <w:tab/>
        <w:t>г. Майкоп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rStyle w:val="CharStyle13"/>
        </w:rPr>
        <w:t>Резолютивная часть оглашена: 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0"/>
        <w:jc w:val="left"/>
      </w:pPr>
      <w:r>
        <w:rPr>
          <w:rStyle w:val="CharStyle13"/>
        </w:rPr>
        <w:t>Решение в полном объеме изготовлено: 09.06.2025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69" w:lineRule="auto"/>
        <w:ind w:left="0" w:right="0" w:firstLine="740"/>
        <w:jc w:val="both"/>
      </w:pPr>
      <w:r>
        <w:rPr>
          <w:rStyle w:val="CharStyle13"/>
        </w:rPr>
        <w:t>Комиссия Управления Федеральной антимонопольной службы по Республике Адыгея по контролю в сфере закупок (далее – Комиссия УФАС) в составе: заместителя председателя Комиссии УФАС – Блягоза Р.Х., начальника отдела контроля закупок; членов Комиссии УФАС: Керашевой С.М., главного специалиста- эксперта; Клюкиной Н.А., ведущего специалиста-эксперта, с участием представителей: Индивидуального предпринимателя Замалиева Аделя Ильдаровича (далее – Заявитель; ИП Замалиев А.И.) Федюниной А.Е. (доверенность от 01.04.2025); Государственного бюджетного учреждения здравоохранения Республики Адыгея «Адыгейская республиканская клиническая больница» (далее – Заказчик) Тугуз З.А. (доверенность от 05.06.2025), рассмотрев жалобу Заявителя 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0"/>
        </w:rPr>
        <w:t xml:space="preserve">1IIIIIIIII Illi </w:t>
      </w:r>
      <w:r>
        <w:rPr>
          <w:rStyle w:val="CharStyle20"/>
          <w:lang w:val="ru-RU" w:eastAsia="ru-RU"/>
        </w:rPr>
        <w:t xml:space="preserve">II </w:t>
      </w:r>
      <w:r>
        <w:rPr>
          <w:rStyle w:val="CharStyle20"/>
        </w:rPr>
        <w:t xml:space="preserve">Illi </w:t>
      </w:r>
      <w:r>
        <w:rPr>
          <w:rStyle w:val="CharStyle20"/>
          <w:lang w:val="ru-RU" w:eastAsia="ru-RU"/>
        </w:rPr>
        <w:t>1111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0" w:right="0" w:firstLine="0"/>
        <w:jc w:val="both"/>
      </w:pPr>
      <w:r>
        <w:rPr>
          <w:rStyle w:val="CharStyle13"/>
        </w:rPr>
        <w:t xml:space="preserve">положения извещения электронного аукциона на поставку расходных материалов (извещение </w:t>
      </w:r>
      <w:r>
        <w:rPr>
          <w:rStyle w:val="CharStyle13"/>
          <w:lang w:val="en-US" w:eastAsia="en-US"/>
        </w:rPr>
        <w:t xml:space="preserve">№0176200005525001061)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Аукцион), проведя внеплановую проверку на основании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УСТАНОВИЛА: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22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Адыгейское УФАС России) </w:t>
      </w:r>
      <w:r>
        <w:rPr>
          <w:rStyle w:val="CharStyle22"/>
          <w:lang w:val="en-US" w:eastAsia="en-US"/>
        </w:rPr>
        <w:t xml:space="preserve">29.05.2025 </w:t>
      </w:r>
      <w:r>
        <w:rPr>
          <w:rStyle w:val="CharStyle22"/>
        </w:rPr>
        <w:t>поступила жалоба Заявителя, в которой указано, что в техническом задании описание объекта закупки сформировано под товар единственного производителя.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22"/>
        </w:rPr>
        <w:t>На основании изложенного Заявитель просит приостановить определение поставщика, признать жалобу обоснованной и выдать Заказчику предписание об устранении допущенных нарушений.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Заказчик представил возражение на жалобу (вх. №2454-ЭП/25 от </w:t>
      </w:r>
      <w:r>
        <w:rPr>
          <w:rStyle w:val="CharStyle13"/>
          <w:lang w:val="en-US" w:eastAsia="en-US"/>
        </w:rPr>
        <w:t xml:space="preserve">05.06.2025), </w:t>
      </w:r>
      <w:r>
        <w:rPr>
          <w:rStyle w:val="CharStyle13"/>
        </w:rPr>
        <w:t>в котором не согласился с доводами Заявителя и просил признать жалобу ИП Замалиева А.И.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Уполномоченным органом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Комитетом Республики Адыгея по регулированию контрактной системы в сфере закупок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Уполномоченный орган) на официальном сайте единой информационной системы в сфере закупок </w:t>
      </w:r>
      <w:r>
        <w:rPr>
          <w:rStyle w:val="CharStyle13"/>
          <w:lang w:val="en-US" w:eastAsia="en-US"/>
        </w:rPr>
        <w:t>zakupki.gov.ru</w:t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ЕИС) </w:t>
      </w:r>
      <w:r>
        <w:rPr>
          <w:rStyle w:val="CharStyle13"/>
          <w:lang w:val="en-US" w:eastAsia="en-US"/>
        </w:rPr>
        <w:t xml:space="preserve">21.05.2025 </w:t>
      </w:r>
      <w:r>
        <w:rPr>
          <w:rStyle w:val="CharStyle13"/>
        </w:rPr>
        <w:t xml:space="preserve">размещено Извещение о проведении Аукциона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Извещение).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4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3 300 000,00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На основании пункта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Закона о контрактной системе </w:t>
      </w:r>
      <w:r>
        <w:rPr>
          <w:rStyle w:val="CharStyle13"/>
          <w:u w:val="single"/>
        </w:rPr>
        <w:t>участник закупки</w:t>
      </w:r>
      <w:r>
        <w:rPr>
          <w:rStyle w:val="CharStyle13"/>
        </w:rPr>
        <w:t xml:space="preserve">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пунктом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241 </w:t>
      </w:r>
      <w:r>
        <w:rPr>
          <w:rStyle w:val="CharStyle13"/>
        </w:rPr>
        <w:t xml:space="preserve">Бюджетного кодекса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офшорная компания), либо юридического лица, являющегося иностранным агентом в соответствии с Федеральным законом от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2022 </w:t>
      </w:r>
      <w:r>
        <w:rPr>
          <w:rStyle w:val="CharStyle13"/>
        </w:rPr>
        <w:t xml:space="preserve">года №255-ФЗ "О контроле за деятельностью лиц, находящихся под иностранным влиянием", или любое физическое лицо, в том числе зарегистрированное в качестве индивидуального предпринимателя, за исключением физического лица, являющегося иностранным агентом в соответствии с Федеральным законом от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2022 </w:t>
      </w:r>
      <w:r>
        <w:rPr>
          <w:rStyle w:val="CharStyle13"/>
        </w:rPr>
        <w:t>года №255-ФЗ "О контроле за деятельностью лиц, находящихся под иностранным влиянием".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40"/>
        <w:jc w:val="both"/>
      </w:pPr>
      <w:r>
        <w:rPr>
          <w:rStyle w:val="CharStyle13"/>
        </w:rPr>
        <w:t xml:space="preserve">Статьей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 принцип обеспечения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конкуренции: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Контрактная система в сфере закупок направлена на создание равных условий для обеспечения конкуренции между участниками закупок. </w:t>
      </w:r>
      <w:r>
        <w:rPr>
          <w:rStyle w:val="CharStyle13"/>
          <w:u w:val="single"/>
        </w:rPr>
        <w:t>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</w:t>
      </w:r>
      <w:r>
        <w:rPr>
          <w:rStyle w:val="CharStyle13"/>
          <w:u w:val="single"/>
        </w:rPr>
        <w:t>в целях выявления лучших условий поставок товаров</w:t>
      </w:r>
      <w:r>
        <w:rPr>
          <w:rStyle w:val="CharStyle13"/>
        </w:rPr>
        <w:t xml:space="preserve">, выполнения работ, оказания услуг. </w:t>
      </w:r>
      <w:r>
        <w:rPr>
          <w:rStyle w:val="CharStyle13"/>
          <w:u w:val="single"/>
        </w:rPr>
        <w:t>Запрещается совершение</w:t>
      </w:r>
      <w:r>
        <w:rPr>
          <w:rStyle w:val="CharStyle13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</w:t>
      </w:r>
      <w:r>
        <w:rPr>
          <w:rStyle w:val="CharStyle13"/>
          <w:u w:val="single"/>
        </w:rPr>
        <w:t>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</w:t>
      </w:r>
      <w:r>
        <w:rPr>
          <w:rStyle w:val="CharStyle13"/>
          <w:u w:val="single"/>
        </w:rPr>
        <w:t>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>Закона о контрактной системе электронный аукцион начинается с размещения в ЕИС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КТРУ), установленными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установлено, что извещение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4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сопровождение такого указания словами "или эквивалент";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  <w:u w:val="single"/>
        </w:rPr>
        <w:t xml:space="preserve">осуществление закупки запасных частей и расходных материалов к машинам и оборудованию, используемым заказчиком, </w:t>
      </w:r>
      <w:r>
        <w:rPr>
          <w:rStyle w:val="CharStyle13"/>
          <w:b/>
          <w:bCs/>
          <w:u w:val="single"/>
        </w:rPr>
        <w:t xml:space="preserve">в соответствии с технической документацией </w:t>
      </w:r>
      <w:r>
        <w:rPr>
          <w:rStyle w:val="CharStyle13"/>
          <w:u w:val="single"/>
        </w:rPr>
        <w:t>на указанные машины и оборудование</w:t>
      </w:r>
      <w:r>
        <w:rPr>
          <w:rStyle w:val="CharStyle13"/>
        </w:rPr>
        <w:t>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Федерации/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установлено, что допускается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Как установила Комиссия УФАС, объектом рассматриваемой закупки является: Проводник для системы внутрисосудистого гемодинамического мониторинга (код КТРУ </w:t>
      </w:r>
      <w:r>
        <w:rPr>
          <w:rStyle w:val="CharStyle13"/>
          <w:lang w:val="en-US" w:eastAsia="en-US"/>
        </w:rPr>
        <w:t>- 32.50.50.190-00000119).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Каталоге товаров, работ, услуг для обеспечения государственных и муниципальных нужд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КТРУ) отсутствует описание закупаемого товара, в связи с чем в Извещении о проведении Аукциона Заказчиком указаны характеристики, единицы измерения и значения характеристик к закупаемому товару, составленные в соответствии с положениями 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в своей жалобе указал, что «</w:t>
      </w:r>
      <w:r>
        <w:rPr>
          <w:rStyle w:val="CharStyle13"/>
          <w:i/>
          <w:iCs/>
        </w:rPr>
        <w:t xml:space="preserve">Позиция с идентификатором </w:t>
      </w:r>
      <w:r>
        <w:rPr>
          <w:rStyle w:val="CharStyle13"/>
          <w:i/>
          <w:iCs/>
          <w:lang w:val="en-US" w:eastAsia="en-US"/>
        </w:rPr>
        <w:t xml:space="preserve">182686664 </w:t>
      </w:r>
      <w:r>
        <w:rPr>
          <w:rStyle w:val="CharStyle13"/>
          <w:i/>
          <w:iCs/>
        </w:rPr>
        <w:t xml:space="preserve">сформирована под товар единственного производителя «Проводник с датчиком давления </w:t>
      </w:r>
      <w:r>
        <w:rPr>
          <w:rStyle w:val="CharStyle13"/>
          <w:i/>
          <w:iCs/>
          <w:lang w:val="en-US" w:eastAsia="en-US"/>
        </w:rPr>
        <w:t xml:space="preserve">OmniWire </w:t>
      </w:r>
      <w:r>
        <w:rPr>
          <w:rStyle w:val="CharStyle13"/>
          <w:i/>
          <w:iCs/>
        </w:rPr>
        <w:t xml:space="preserve">производства Волкано Корпорейшн (РЗН </w:t>
      </w:r>
      <w:r>
        <w:rPr>
          <w:rStyle w:val="CharStyle13"/>
          <w:i/>
          <w:iCs/>
          <w:lang w:val="en-US" w:eastAsia="en-US"/>
        </w:rPr>
        <w:t>2023/21858)</w:t>
      </w:r>
      <w:r>
        <w:rPr>
          <w:rStyle w:val="CharStyle13"/>
          <w:lang w:val="en-US" w:eastAsia="en-US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 этом, Заявитель ссылается на правовую позицию ФАС России, выраженную в письме от </w:t>
      </w:r>
      <w:r>
        <w:rPr>
          <w:rStyle w:val="CharStyle13"/>
          <w:lang w:val="en-US" w:eastAsia="en-US"/>
        </w:rPr>
        <w:t xml:space="preserve">20.09.2021 </w:t>
      </w:r>
      <w:r>
        <w:rPr>
          <w:rStyle w:val="CharStyle13"/>
        </w:rPr>
        <w:t xml:space="preserve">№ПИ/79427/21 о том, что объект закупки должен быть сформирован таким образом, чтобы </w:t>
      </w:r>
      <w:r>
        <w:rPr>
          <w:rStyle w:val="CharStyle13"/>
          <w:b/>
          <w:bCs/>
        </w:rPr>
        <w:t>совокупности характеристик товара соответствовало как минимум два производителя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УФАС отмечает следующее.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 xml:space="preserve">Одной из характеристик закупаемого товара, указанной в описании объекта закупки (далее </w:t>
      </w:r>
      <w:r>
        <w:rPr>
          <w:rStyle w:val="CharStyle28"/>
          <w:lang w:val="en-US" w:eastAsia="en-US"/>
        </w:rPr>
        <w:t xml:space="preserve">– </w:t>
      </w:r>
      <w:r>
        <w:rPr>
          <w:rStyle w:val="CharStyle28"/>
        </w:rPr>
        <w:t>ООЗ) в Извещении является:</w:t>
      </w:r>
    </w:p>
    <w:tbl>
      <w:tblPr>
        <w:tblOverlap w:val="never"/>
        <w:jc w:val="center"/>
        <w:tblLayout w:type="fixed"/>
      </w:tblPr>
      <w:tblGrid>
        <w:gridCol w:w="5357"/>
        <w:gridCol w:w="1838"/>
        <w:gridCol w:w="3230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b/>
                <w:bCs/>
                <w:sz w:val="22"/>
                <w:szCs w:val="22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0"/>
                <w:b/>
                <w:bCs/>
                <w:sz w:val="22"/>
                <w:szCs w:val="22"/>
              </w:rPr>
              <w:t>Инструкция по заполнению характеристики в заявке</w:t>
            </w:r>
          </w:p>
        </w:tc>
      </w:tr>
      <w:tr>
        <w:trPr>
          <w:trHeight w:val="16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 xml:space="preserve">Совместимость с системой для внутрисосудистой ультразвуковой визуализации сердечно-сосудистой системы </w:t>
            </w:r>
            <w:r>
              <w:rPr>
                <w:rStyle w:val="CharStyle30"/>
                <w:b/>
                <w:bCs/>
                <w:lang w:val="en-US" w:eastAsia="en-US"/>
              </w:rPr>
              <w:t xml:space="preserve">Intrasight </w:t>
            </w:r>
            <w:r>
              <w:rPr>
                <w:rStyle w:val="CharStyle30"/>
              </w:rPr>
              <w:t>с принадлежностями, имеющимся у Заказчика.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0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Вышеуказанная характеристика обусловлена наличием у Заказчика в использовании арендованной </w:t>
      </w:r>
      <w:r>
        <w:rPr>
          <w:rStyle w:val="CharStyle13"/>
          <w:u w:val="single"/>
        </w:rPr>
        <w:t xml:space="preserve">Системы для внутрисосудистой ультразвуковой визуализации сердечно-сосудистой системы </w:t>
      </w:r>
      <w:r>
        <w:rPr>
          <w:rStyle w:val="CharStyle13"/>
          <w:b/>
          <w:bCs/>
          <w:u w:val="single"/>
          <w:lang w:val="en-US" w:eastAsia="en-US"/>
        </w:rPr>
        <w:t xml:space="preserve">Intrasight </w:t>
      </w:r>
      <w:r>
        <w:rPr>
          <w:rStyle w:val="CharStyle13"/>
          <w:u w:val="single"/>
        </w:rPr>
        <w:t xml:space="preserve">производства </w:t>
      </w:r>
      <w:r>
        <w:rPr>
          <w:rStyle w:val="CharStyle13"/>
          <w:u w:val="single"/>
          <w:lang w:val="en-US" w:eastAsia="en-US"/>
        </w:rPr>
        <w:t xml:space="preserve">Volcano Corporation </w:t>
      </w:r>
      <w:r>
        <w:rPr>
          <w:rStyle w:val="CharStyle13"/>
          <w:u w:val="single"/>
        </w:rPr>
        <w:t xml:space="preserve">Компании </w:t>
      </w:r>
      <w:r>
        <w:rPr>
          <w:rStyle w:val="CharStyle13"/>
          <w:u w:val="single"/>
          <w:lang w:val="en-US" w:eastAsia="en-US"/>
        </w:rPr>
        <w:t xml:space="preserve">Philips </w:t>
      </w:r>
      <w:r>
        <w:rPr>
          <w:rStyle w:val="CharStyle13"/>
          <w:u w:val="single"/>
        </w:rPr>
        <w:t>(Волкано Корпорейшн, США)</w:t>
      </w:r>
      <w:r>
        <w:rPr>
          <w:rStyle w:val="CharStyle13"/>
        </w:rPr>
        <w:t xml:space="preserve">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Система), которая и определяет совокупность параметров закупаемого медицинского изделия, используемого для качественной и эффективной работы Системы, не приводящей к причинению вреда жизни и здоровью пациентов и медицинских работников.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технической документации (инструкции по эксплуатации Системы, размещенной на сайте Росздравнадзора) производителем Системы установлены наименования проводников, совместимых с модулем </w:t>
      </w:r>
      <w:r>
        <w:rPr>
          <w:rStyle w:val="CharStyle13"/>
          <w:lang w:val="en-US" w:eastAsia="en-US"/>
        </w:rPr>
        <w:t xml:space="preserve">PIM </w:t>
      </w:r>
      <w:r>
        <w:rPr>
          <w:rStyle w:val="CharStyle13"/>
        </w:rPr>
        <w:t xml:space="preserve">Системы: </w:t>
      </w:r>
      <w:r>
        <w:rPr>
          <w:rStyle w:val="CharStyle13"/>
          <w:lang w:val="en-US" w:eastAsia="en-US"/>
        </w:rPr>
        <w:t xml:space="preserve">Verrata, Verrata Plus, OmniWire. </w:t>
      </w:r>
      <w:r>
        <w:rPr>
          <w:rStyle w:val="CharStyle13"/>
        </w:rPr>
        <w:t>Назначение каждого из проводников определятся параметрами и функциями.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right="452" w:bottom="981" w:left="1022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рассматриваемом случае Заказчик закупает медицинское изделие, совокупности характеристик которого соответствует именно проводник с датчиком давления </w:t>
      </w:r>
      <w:r>
        <w:rPr>
          <w:rStyle w:val="CharStyle13"/>
          <w:lang w:val="en-US" w:eastAsia="en-US"/>
        </w:rPr>
        <w:t xml:space="preserve">OmniWire </w:t>
      </w:r>
      <w:r>
        <w:rPr>
          <w:rStyle w:val="CharStyle13"/>
        </w:rPr>
        <w:t xml:space="preserve">(регистрационное удостоверение РЗН </w:t>
      </w:r>
      <w:r>
        <w:rPr>
          <w:rStyle w:val="CharStyle13"/>
          <w:lang w:val="en-US" w:eastAsia="en-US"/>
        </w:rPr>
        <w:t xml:space="preserve">2023/21858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05 </w:t>
      </w:r>
      <w:r>
        <w:rPr>
          <w:rStyle w:val="CharStyle13"/>
        </w:rPr>
        <w:t>июля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lang w:val="en-US" w:eastAsia="en-US"/>
        </w:rPr>
        <w:t xml:space="preserve">2024 </w:t>
      </w:r>
      <w:r>
        <w:rPr>
          <w:rStyle w:val="CharStyle13"/>
        </w:rPr>
        <w:t>г.).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При этом,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размещенном на сайте Росздравнадзора, зарегистрированы медицинские изделия «Проводник с датчиком давления» только одного производителя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США, </w:t>
      </w:r>
      <w:r>
        <w:rPr>
          <w:rStyle w:val="CharStyle13"/>
          <w:lang w:val="en-US" w:eastAsia="en-US"/>
        </w:rPr>
        <w:t>Volcano Corporation.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На заседании Комиссии УФАС представитель Заявителя также подтвердила, что "Волкано Корпорейшн" является единственным известным и зарегистрированным в России производителем закупаемых медицинских изделий, в связи с чем Заявитель считает данную закупку неконкурентной и нарушающей законодательство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Однако, по мнению Комиссии УФАС, Заказчик не может нести ответственность за то, что производством необходимого для больницы проводника с датчиком давления занимается единственная в мире компания.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Комиссией УФАС не выявлено, а Заявителем не представлено объективных доказательств того, что обращение обжалуемого закупаемого товара на соответствующем рынке невозможно или затруднено.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С учетом вышеизложенного, Комиссия УФАС не находит в действиях Заказчика нарушений Закона о контрактной системе, следовательно, довод жалобы ИП Замалиева А.И. является </w:t>
      </w:r>
      <w:r>
        <w:rPr>
          <w:rStyle w:val="CharStyle13"/>
          <w:b/>
          <w:bCs/>
        </w:rPr>
        <w:t>необоснованным</w:t>
      </w:r>
      <w:r>
        <w:rPr>
          <w:rStyle w:val="CharStyle13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Руководствуясь статьями </w:t>
      </w:r>
      <w:r>
        <w:rPr>
          <w:rStyle w:val="CharStyle13"/>
          <w:lang w:val="en-US" w:eastAsia="en-US"/>
        </w:rPr>
        <w:t xml:space="preserve">99, 106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Признать жалобу ИП Замалиева А.И.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640"/>
        <w:jc w:val="both"/>
      </w:pPr>
      <w:r>
        <w:rPr>
          <w:rStyle w:val="CharStyle13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left"/>
      </w:pPr>
      <w:r>
        <w:drawing>
          <wp:anchor distT="60960" distB="0" distL="101600" distR="3860165" simplePos="0" relativeHeight="125829380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73660</wp:posOffset>
            </wp:positionV>
            <wp:extent cx="359410" cy="408305"/>
            <wp:wrapSquare wrapText="lef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171450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4.90000000000003pt;margin-top:1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5900" distL="3354070" distR="101600" simplePos="0" relativeHeight="125829381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12700</wp:posOffset>
                </wp:positionV>
                <wp:extent cx="862330" cy="250190"/>
                <wp:wrapSquare wrapText="left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97.90000000000003pt;margin-top:1.pt;width:67.900000000000006pt;height:19.699999999999999pt;z-index:-125829372;mso-wrap-distance-left:264.10000000000002pt;mso-wrap-distance-right:8.pt;mso-wrap-distance-bottom:17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Р.Х. Блягоз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Заместитель председателя Комиссии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34"/>
          <w:color w:val="FFFFFF"/>
          <w:sz w:val="11"/>
          <w:szCs w:val="11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  <w:sz w:val="11"/>
          <w:szCs w:val="11"/>
        </w:rPr>
        <w:t>Блягоз Рамазан Хазретович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00F7C7A67F475080F47AC01BC7EAE0A7F</w:t>
      </w:r>
      <w:r>
        <w:rPr>
          <w:rStyle w:val="CharStyle34"/>
          <w:lang w:val="en-US" w:eastAsia="en-US"/>
        </w:rPr>
        <w:t>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4"/>
        </w:rPr>
        <w:t xml:space="preserve">Действителен с 19.02.2025 </w:t>
      </w:r>
      <w:r>
        <w:rPr>
          <w:rStyle w:val="CharStyle34"/>
          <w:color w:val="565656"/>
        </w:rPr>
        <w:t xml:space="preserve">по </w:t>
      </w:r>
      <w:r>
        <w:rPr>
          <w:rStyle w:val="CharStyle34"/>
        </w:rPr>
        <w:t>15.05.2026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87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494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5953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7.pt;width:107.05pt;height:19.699999999999999pt;z-index:-125829370;mso-wrap-distance-left:0;mso-wrap-distance-top: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85" behindDoc="0" locked="0" layoutInCell="1" allowOverlap="1">
            <wp:simplePos x="0" y="0"/>
            <wp:positionH relativeFrom="page">
              <wp:posOffset>3101340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4.90000000000003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4945" distL="0" distR="0" simplePos="0" relativeHeight="125829386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88900</wp:posOffset>
                </wp:positionV>
                <wp:extent cx="117348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73.65000000000003pt;margin-top:7.pt;width:92.400000000000006pt;height:19.699999999999999pt;z-index:-125829367;mso-wrap-distance-left:0;mso-wrap-distance-top: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676910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1082040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8.30000000000001pt;margin-top:85.2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765175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5.15000000000003pt;margin-top:60.2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60" w:right="0" w:firstLine="0"/>
        <w:jc w:val="left"/>
        <w:rPr>
          <w:sz w:val="11"/>
          <w:szCs w:val="11"/>
        </w:rPr>
      </w:pPr>
      <w:r>
        <w:rPr>
          <w:rStyle w:val="CharStyle34"/>
          <w:color w:val="FFFFFF"/>
          <w:sz w:val="11"/>
          <w:szCs w:val="11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  <w:sz w:val="11"/>
          <w:szCs w:val="11"/>
        </w:rPr>
        <w:t>Керашева Сусана Муратовна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00A0FD32E0EFEE026E624F0421626EED3A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34"/>
        </w:rPr>
        <w:t xml:space="preserve">Действителен с 17.01.2025 </w:t>
      </w:r>
      <w:r>
        <w:rPr>
          <w:rStyle w:val="CharStyle34"/>
          <w:color w:val="565656"/>
        </w:rPr>
        <w:t xml:space="preserve">по </w:t>
      </w:r>
      <w:r>
        <w:rPr>
          <w:rStyle w:val="CharStyle34"/>
        </w:rPr>
        <w:t>12.04.2026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180" w:right="0" w:firstLine="0"/>
        <w:jc w:val="left"/>
      </w:pPr>
      <w:r>
        <w:rPr>
          <w:rStyle w:val="CharStyle13"/>
        </w:rPr>
        <w:t>Н.А. Клюкина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  <w:sz w:val="11"/>
          <w:szCs w:val="11"/>
        </w:rPr>
        <w:t>КЛЮКИНА НАТАЛЬЯ АЛЕКСАНДРОВНА</w:t>
      </w:r>
      <w:r>
        <w:rPr>
          <w:rStyle w:val="CharStyle34"/>
          <w:color w:val="000000"/>
          <w:sz w:val="11"/>
          <w:szCs w:val="11"/>
        </w:rPr>
        <w:t xml:space="preserve"> </w:t>
      </w: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06A19586E106B731AA6DEEED52F7616C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66" w:lineRule="auto"/>
        <w:ind w:right="0" w:firstLine="0"/>
        <w:jc w:val="left"/>
      </w:pPr>
      <w:r>
        <w:rPr>
          <w:rStyle w:val="CharStyle34"/>
        </w:rPr>
        <w:t xml:space="preserve">Действителен с </w:t>
      </w:r>
      <w:r>
        <w:rPr>
          <w:rStyle w:val="CharStyle34"/>
          <w:color w:val="565656"/>
        </w:rPr>
        <w:t>20.03.2024 по 13.06.2025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87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2025-1562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788.20000000000005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2025-1562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  <w:lang w:val="ru-RU" w:eastAsia="ru-RU"/>
                            </w:rPr>
                            <w:t>2025-1562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775.70000000000005pt;width:52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  <w:lang w:val="ru-RU" w:eastAsia="ru-RU"/>
                      </w:rPr>
                      <w:t>2025-1562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678180</wp:posOffset>
              </wp:positionV>
              <wp:extent cx="7620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9.pt;margin-top:53.39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19A"/>
      <w:sz w:val="90"/>
      <w:szCs w:val="90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5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2">
    <w:name w:val="Heading #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Table caption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Other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Body text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19A"/>
      <w:sz w:val="90"/>
      <w:szCs w:val="90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Table caption"/>
    <w:basedOn w:val="Normal"/>
    <w:link w:val="CharStyle28"/>
    <w:pPr>
      <w:widowControl w:val="0"/>
      <w:shd w:val="clear" w:color="auto" w:fill="auto"/>
      <w:ind w:firstLine="6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Other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Body text (2)"/>
    <w:basedOn w:val="Normal"/>
    <w:link w:val="CharStyle34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