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542" w:h="1301" w:wrap="none" w:hAnchor="page" w:x="1453" w:y="1119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framePr w:w="3542" w:h="1301" w:wrap="none" w:hAnchor="page" w:x="1453" w:y="11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3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Ростовской области</w:t>
      </w:r>
    </w:p>
    <w:p>
      <w:pPr>
        <w:pStyle w:val="Style2"/>
        <w:keepNext w:val="0"/>
        <w:keepLines w:val="0"/>
        <w:framePr w:w="3216" w:h="1190" w:wrap="none" w:hAnchor="page" w:x="1491" w:y="2617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Ворошиловский, 2/2, офис 403</w:t>
        <w:br/>
        <w:t>г. Ростов-на-Дону, 344006</w:t>
        <w:br/>
        <w:t>тел. (863) 263-31-04, факс (863) 240-99-59</w:t>
      </w:r>
    </w:p>
    <w:p>
      <w:pPr>
        <w:pStyle w:val="Style2"/>
        <w:keepNext w:val="0"/>
        <w:keepLines w:val="0"/>
        <w:framePr w:w="3216" w:h="1190" w:wrap="none" w:hAnchor="page" w:x="1491" w:y="2617"/>
        <w:widowControl w:val="0"/>
        <w:shd w:val="clear" w:color="auto" w:fill="auto"/>
        <w:bidi w:val="0"/>
        <w:spacing w:before="0" w:after="6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(о61@Гав.§оу.ги</w:t>
      </w:r>
    </w:p>
    <w:p>
      <w:pPr>
        <w:pStyle w:val="Style8"/>
        <w:keepNext w:val="0"/>
        <w:keepLines w:val="0"/>
        <w:framePr w:w="3216" w:h="1190" w:wrap="none" w:hAnchor="page" w:x="1491" w:y="2617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штамп</w:t>
      </w:r>
    </w:p>
    <w:p>
      <w:pPr>
        <w:pStyle w:val="Style8"/>
        <w:keepNext w:val="0"/>
        <w:keepLines w:val="0"/>
        <w:framePr w:w="3216" w:h="1190" w:wrap="none" w:hAnchor="page" w:x="1491" w:y="2617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регистрации</w:t>
      </w:r>
      <w:r>
        <w:fldChar w:fldCharType="end"/>
      </w:r>
    </w:p>
    <w:p>
      <w:pPr>
        <w:pStyle w:val="Style5"/>
        <w:keepNext w:val="0"/>
        <w:keepLines w:val="0"/>
        <w:framePr w:w="4061" w:h="245" w:wrap="none" w:hAnchor="page" w:x="1141" w:y="41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color w:val="4460A3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1"/>
        <w:keepNext w:val="0"/>
        <w:keepLines w:val="0"/>
        <w:framePr w:w="4589" w:h="3658" w:wrap="none" w:hAnchor="page" w:x="6406" w:y="87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"РТС-тендер" ко@118-1епдег.ш</w:t>
      </w:r>
    </w:p>
    <w:p>
      <w:pPr>
        <w:pStyle w:val="Style11"/>
        <w:keepNext w:val="0"/>
        <w:keepLines w:val="0"/>
        <w:framePr w:w="4589" w:h="3658" w:wrap="none" w:hAnchor="page" w:x="6406" w:y="87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бюджетное учреждение Ростовской области "Перинатальный центр" ул. Бодрая, д. 90, г. Ростов-на-Дону, 344068 хакирИ-реппа1а1@уапдех.ш, И1@реппа1а1- ГО810УШ</w:t>
      </w:r>
    </w:p>
    <w:p>
      <w:pPr>
        <w:pStyle w:val="Style11"/>
        <w:keepNext w:val="0"/>
        <w:keepLines w:val="0"/>
        <w:framePr w:w="4589" w:h="3658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ГРИГОРЕНКО ТАТЬЯНА ИГОРЕВНА 350005, Краснодарский край, Г. Краснодар, Конгрессная, 19, 54</w:t>
      </w:r>
    </w:p>
    <w:p>
      <w:pPr>
        <w:pStyle w:val="Style11"/>
        <w:keepNext w:val="0"/>
        <w:keepLines w:val="0"/>
        <w:framePr w:w="4589" w:h="3658" w:wrap="none" w:hAnchor="page" w:x="6406" w:y="870"/>
        <w:widowControl w:val="0"/>
        <w:shd w:val="clear" w:color="auto" w:fill="auto"/>
        <w:bidi w:val="0"/>
        <w:spacing w:before="0" w:after="240" w:line="240" w:lineRule="auto"/>
        <w:ind w:left="0" w:right="0" w:firstLine="7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дпдогепко.1айапа123@ои11оок.сот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9753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726440</wp:posOffset>
            </wp:positionH>
            <wp:positionV relativeFrom="margin">
              <wp:posOffset>3078480</wp:posOffset>
            </wp:positionV>
            <wp:extent cx="182880" cy="17081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82880" cy="1708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36" w:line="1" w:lineRule="exact"/>
      </w:pPr>
    </w:p>
    <w:p>
      <w:pPr>
        <w:widowControl w:val="0"/>
        <w:spacing w:line="1" w:lineRule="exac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512" w:bottom="1216" w:left="1072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06" w:right="0" w:bottom="121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  <w:br/>
        <w:t>по результатам рассмотрения дела</w:t>
        <w:br/>
        <w:t>№061/06/49-1062/2025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12700</wp:posOffset>
                </wp:positionV>
                <wp:extent cx="697865" cy="21653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786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14.04.2025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pt;margin-top:1.pt;width:54.950000000000003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14.04.2025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Ростов-на-Дону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Ростовской области (далее - Ростовское УФАС России, Комиссия) по контролю соблюдения законодательства в сфере закупок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87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  <w:tab/>
        <w:t>С.В. Батурин,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59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В.Д. Кириленко,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8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К.Р. Джаникян, рассмотрев дело №061/06/49-1062/2025 по жалобе ИП Григоренко Т.И. (далее — Заявитель) о нарушении ГБУ РО «Перинатальный центр» (далее — Заказчик) при проведении электронного аукциона №0358200049625000058 «Поставка медицинского оборудования (Монитор для определения физиологических показателей матери и плода) для нужд ГБУ РО "ПЦ" в 2025 году » (далее — Аукцион) норм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Закон), путем использования системы видеоконференц-связи (ВКС) в присутствии представителя Заявителя - Дроздова И.Е. (доверенность от 10.04.2025), представителя Заказчика — Доценко Е.О. (доверенность № 41/2025 от 04.04.2025),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874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Ростовское УФАС России поступила жалоба Заявителя на действия аукционной комиссии ГБУ РО «ГБУ РО «Перинатальный центр». Заказчик в возражениях на жалобу: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2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отрицал нарушение Закона;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2" w:val="left"/>
        </w:tabs>
        <w:bidi w:val="0"/>
        <w:spacing w:before="0" w:after="66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представил пояснения по доводу жалобы.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ч.ч.1,3 ст.99 Закона в ходе рассмотрения дела установлено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Заказчиком в Единой информационной системе (ЕИС) на официальном сайте </w:t>
      </w:r>
      <w:r>
        <w:rPr>
          <w:smallCaps/>
          <w:color w:val="000000"/>
          <w:spacing w:val="0"/>
          <w:w w:val="100"/>
          <w:position w:val="0"/>
          <w:sz w:val="17"/>
          <w:szCs w:val="17"/>
          <w:u w:val="single"/>
          <w:shd w:val="clear" w:color="auto" w:fill="auto"/>
          <w:lang w:val="ru-RU" w:eastAsia="ru-RU" w:bidi="ru-RU"/>
        </w:rPr>
        <w:t>\у\у\у.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 хакиркгдоу. ги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24.03.2025 размещено извещение о проведении закупки № 0358200049625000058 (далее - Извещение), согласно которому: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22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установлены дата и время окончания подачи заявок - 01.04.2025 10:00 (МСК);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22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(НМЦК) составила 22 472 000,00 рублей.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Закупка проводится в рамках национального проекта «Продолжительная и активная жизнь».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протоколом подведения итогов определения поставщика (подрядчика, исполнителя) от 03.04.2025 №ИЭА1 на участие подано 2 (две) заявки. Заявка Заявителя отклонена при следующем обосновании: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Выявление недостоверной информации, содержащейся в заявке на участие в закупке (Отклонение по п. 8 ч. 12 ст. 48 Закона № 44-ФЗ). Заявка участника отклонена в связи с выявлением недостоверной информации, содержащейся в заявке на участие в закупке, а именно в руководстве по эксплуатации размещенной на сайте РЗН к Регистрационному удостоверению: РЗН 2013/1289 отсутствие Анализа КТГ по критериям Доуза-Редмана (Подробнее основание отклонения указано в "Приложении 1 к протоколу подведения итогов определения поставщика (подрядчика, исполнителя)" - в Дополнительных файлах к протоколу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считает действия аукционной комиссии Заказчика неправомерными, оснований для отклонения заявки в соответствии с п.8 ч.12 ст.48 Закона не имелось, поскольку в предложенном оборудовании реализована функция НСТ в соответствии с рекомендациями Доуза- Редмана по интерпретации КТГ.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 статьи 27 Закона участие в определении поставщиков (подрядчиков, исполнителей) может быть ограничено только в случаях, предусмотренных настоящим Федеральным законом. Отклонение заявки на участие в закупке по основаниям, не предусмотренным настоящим Федеральным законом, не допускается.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п.п.«а» п.2 ч.1 ст.43 Закона 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закупки: а) с учетом положений части 2 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настоящего Федерального закона, товарный знак (при наличии у товара товарного знака).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п./п.а) п.1 ч.5 ст.49 Закона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8 части 12 статьи 48 Закона установлено, что при рассмотрении вторых частей заявок на участие в закупке соответствующая заявка подлежит отклонению в случае выявления недостоверной информации, содержащейся в заявке на участие в закупке. Под недостоверными сведениями следует понимать сведения, не соответствующие действительности.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свою очередь, исходя из правовой позиции Верховного Суда Российской Федерации, изложенной в постановлении от 24.02.2005 № 3 «О судебной практике по делам о защите чести и достоинства граждан, а также деловой репутации граждан и юридических лиц», под не соответствующими действительности сведениями понимаются утверждения о фактах или событиях, которые не имели места в реальности во время, к которому относятся оспариваемые сведения (п.7).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предоставленное заказчику право отклонить поданную заявку в случае обнаружения в ней недостоверных сведений свидетельствует о том, что располагать такой информацией заказчик должен непосредственно на момент принятия соответствующего решения, причем располагать именно доказательствами такой недостоверности, но не руководствоваться предположениями.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извещению объектом закупки являются мониторы для определения физиологических показателей матери и плода, код позиции КТРУ 26.60.12.129-00000250.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Код ОКПД2 входит в перечень приложения ^ 2 Постановления ^ 1875 (позиция 312 перечня).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Так, закупаемые изделия предназначены для мониторирования состояния плода при беременности одновременно тремя детьми и для автоматического анализа КТГ по критериям Доуса-Редмана.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описанию объекта закупки, оборудование должно иметь количество ультразвуковых доплеровских датчиков проводных не менее 3х.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Соответственно, закупаемое оборудование позволяет проводить мониторинг для определения физиологических показателей не менее, чем 3-х плодов одновременно. Несоответствие по показателю (наличие только 2 или 1 доплеровского датчика) приведет к невозможности использования оборудования для мониторинга частоты сердечных сокращений плодов у тройни, для наблюдения за которыми и приобретается данное оборудование.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информации Руководства по эксплуатации Фетального монитора "Уникос-03", данные мониторы предназначены только для мониторирования одновременно до 2х плодов (последний абзац стр. 7, п. 9.3, 11.2, 11.3 руководства).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Более того, согласно описанию объекта закупки Заказчику требуется проведение анализа КТГ по критериям Доуза-Редмана. Данное требование установлено согласно описанию позиции КТРУ 26.60.12.129-00000250.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Анализ КТГ (кардиотокографии) по критериям Доуза-Редмана позволяет определить признаки возможного неблагоприятного исхода беременности и предпринять необходимые меры к оказанию помощи матери и плоду.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письму ООО «Оксфорд Медикал» от 03.04.2025, алгоритм Доуса-Редмана был разработан в Акушерской клинике Оксфордского Университета. Авторский алгоритм автоматического анализа КТГ по Доусу-Редману реализуется в настоящее время исключительно в кардиотокографах с товарным знаком 8ошсаИ®, производимых компанией Нип11е1дИ Неа!1Исаге. Все остальные программные продукты, имитирующие алгоритм анализа по Доусу-Редману, и инсталлированные в фетальные мониторы других производителей - это не валидированные и не верифицированные подделки-фальсификаты. Единственные кардиотокографы, в которых инсталлирована оригинальная версия программного обеспечения анализа по Юа^ез/Кедтап - это мониторные системы 8ошсаМ® производства компании 11ип1е1д1111еа111каге.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правообладатель прав на программное обеспечение на анализ КТГ по критериям Доуса-Редмана прямо указал на отсутствие иных законных пользователей данного программного обеспечения, кроме компании Нип1:1е1дЬ ИеаИЬсаге (оборудование с товарным знаком 8ошсаИ®).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заседании комиссии Ростовского УФАС России представитель Заказчика пояснила, что НСТ в соответствии с рекомендациями Доуса-Редмана не является анализом КТГ по критериям Доуса-Редмана.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Нестрессовый тест (НСТ) проводится в целях оценки реактивного сердечного ритма плода в ответ на его движения, записываются ЧСС плода и маточная активность, оценивается учащение ЧСС в ответ на движение плода.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НСТ является менее предпочтительным и менее информативным вариантом проведения исследования, чем компьютеризорованная кардиотоконрамма с оценкой кратковременной вариабельности (ключевым параметром анализа КТГ по критериям Доуза-Редмана).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Установлено, что Заявителем предложен товар: «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монитор фетальный А\’а!он, исполнения Ага1оп РМ20,30 с принадлежностями, РЗН 2013/1289 от 10.06.2021, Филипс Медицин Систем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Боблинген ГмбХ, Германия, наличие анализа КТГ по критериям Доуза-Редмана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Однако, исходя из вышеуказанного в предложенном Заявителем оборудовании реализована функция НСТ в соответствии с рекомендациями Доуза-Редмана по интерпретации КТГ, что не может считаться оригинальным анализом Доуза-Редмана.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довод Заявителя о том, что в продукции компании Филипс также реализован анализ КТГ по критериям Доуза-Редмана, не находит своего подтверждения.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Признав заявку Заявителя не соответствующей, аукционная комиссия Заказчика действовала в соответствии с Законом.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Постановления Правительства РФ от 26.08.2013г. № 728, в соответствии с ч.15 ст.99, ч.8 ст.106 Закона,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ИП Григоренко Т.И. необоснованной.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течение трех месяцев со дня его принятия.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6312535</wp:posOffset>
                </wp:positionH>
                <wp:positionV relativeFrom="paragraph">
                  <wp:posOffset>12700</wp:posOffset>
                </wp:positionV>
                <wp:extent cx="875030" cy="21653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7503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С.В. Батурин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97.05000000000001pt;margin-top:1.pt;width:68.900000000000006pt;height:17.05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С.В. Батурин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Моего для подписи;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Батурин С. 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В.Д. Кириленко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384" w:lineRule="auto"/>
        <w:ind w:right="0" w:firstLine="2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Моего дня подписи: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Кириленко В. Д.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К.Р. Джаникян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Моего для подписи: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04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Джан икян К. Р.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Исп.Джаникян К.Р. тел.240-86-88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06" w:right="516" w:bottom="1215" w:left="106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9985375</wp:posOffset>
              </wp:positionV>
              <wp:extent cx="71945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2025-11606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57.399999999999999pt;margin-top:786.25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2025-11606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945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2025-11606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76.20000000000005pt;width:56.6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2025-11606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5)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color w:val="1D1D1D"/>
      <w:sz w:val="10"/>
      <w:szCs w:val="10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3">
    <w:name w:val="Основной текст (4)_"/>
    <w:basedOn w:val="DefaultParagraphFont"/>
    <w:link w:val="Style22"/>
    <w:rPr>
      <w:rFonts w:ascii="Arial" w:eastAsia="Arial" w:hAnsi="Arial" w:cs="Arial"/>
      <w:b/>
      <w:bCs/>
      <w:i w:val="0"/>
      <w:iCs w:val="0"/>
      <w:smallCaps w:val="0"/>
      <w:strike w:val="0"/>
      <w:color w:val="858485"/>
      <w:sz w:val="18"/>
      <w:szCs w:val="18"/>
      <w:u w:val="none"/>
    </w:rPr>
  </w:style>
  <w:style w:type="character" w:customStyle="1" w:styleId="CharStyle25">
    <w:name w:val="Основной текст (6)_"/>
    <w:basedOn w:val="DefaultParagraphFont"/>
    <w:link w:val="Style24"/>
    <w:rPr>
      <w:rFonts w:ascii="Arial" w:eastAsia="Arial" w:hAnsi="Arial" w:cs="Arial"/>
      <w:b/>
      <w:bCs/>
      <w:i w:val="0"/>
      <w:iCs w:val="0"/>
      <w:smallCaps w:val="0"/>
      <w:strike w:val="0"/>
      <w:color w:val="858485"/>
      <w:sz w:val="20"/>
      <w:szCs w:val="20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3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auto"/>
      <w:ind w:firstLine="140"/>
    </w:pPr>
    <w:rPr>
      <w:rFonts w:ascii="Arial" w:eastAsia="Arial" w:hAnsi="Arial" w:cs="Arial"/>
      <w:b/>
      <w:bCs/>
      <w:i w:val="0"/>
      <w:iCs w:val="0"/>
      <w:smallCaps w:val="0"/>
      <w:strike w:val="0"/>
      <w:color w:val="1D1D1D"/>
      <w:sz w:val="10"/>
      <w:szCs w:val="10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2">
    <w:name w:val="Основной текст (4)"/>
    <w:basedOn w:val="Normal"/>
    <w:link w:val="CharStyle23"/>
    <w:pPr>
      <w:widowControl w:val="0"/>
      <w:shd w:val="clear" w:color="auto" w:fill="auto"/>
      <w:spacing w:after="160" w:line="312" w:lineRule="auto"/>
      <w:ind w:left="3440" w:firstLine="10"/>
    </w:pPr>
    <w:rPr>
      <w:rFonts w:ascii="Arial" w:eastAsia="Arial" w:hAnsi="Arial" w:cs="Arial"/>
      <w:b/>
      <w:bCs/>
      <w:i w:val="0"/>
      <w:iCs w:val="0"/>
      <w:smallCaps w:val="0"/>
      <w:strike w:val="0"/>
      <w:color w:val="858485"/>
      <w:sz w:val="18"/>
      <w:szCs w:val="18"/>
      <w:u w:val="none"/>
    </w:rPr>
  </w:style>
  <w:style w:type="paragraph" w:customStyle="1" w:styleId="Style24">
    <w:name w:val="Основной текст (6)"/>
    <w:basedOn w:val="Normal"/>
    <w:link w:val="CharStyle25"/>
    <w:pPr>
      <w:widowControl w:val="0"/>
      <w:shd w:val="clear" w:color="auto" w:fill="auto"/>
      <w:spacing w:after="240"/>
      <w:ind w:left="3440"/>
    </w:pPr>
    <w:rPr>
      <w:rFonts w:ascii="Arial" w:eastAsia="Arial" w:hAnsi="Arial" w:cs="Arial"/>
      <w:b/>
      <w:bCs/>
      <w:i w:val="0"/>
      <w:iCs w:val="0"/>
      <w:smallCaps w:val="0"/>
      <w:strike w:val="0"/>
      <w:color w:val="858485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