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1774825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2715" simplePos="0" relativeHeight="125829379" behindDoc="0" locked="0" layoutInCell="1" allowOverlap="1">
                <wp:simplePos x="0" y="0"/>
                <wp:positionH relativeFrom="page">
                  <wp:posOffset>723265</wp:posOffset>
                </wp:positionH>
                <wp:positionV relativeFrom="paragraph">
                  <wp:posOffset>728980</wp:posOffset>
                </wp:positionV>
                <wp:extent cx="2578735" cy="1752600"/>
                <wp:wrapSquare wrapText="right"/>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Ростов-на-Дону, 344006</w:t>
                              <w:br/>
                              <w:t>тел. (863) 263-31-04, факс (863) 240-99-59</w:t>
                              <w:br/>
                              <w:t>е-тай: 1о61@Га5.§оу.ги</w:t>
                            </w:r>
                          </w:p>
                          <w:p>
                            <w:pPr>
                              <w:pStyle w:val="Style5"/>
                              <w:keepNext w:val="0"/>
                              <w:keepLines w:val="0"/>
                              <w:widowControl w:val="0"/>
                              <w:shd w:val="clear" w:color="auto" w:fill="auto"/>
                              <w:tabs>
                                <w:tab w:leader="underscore" w:pos="1762" w:val="left"/>
                                <w:tab w:leader="underscore" w:pos="3926" w:val="left"/>
                              </w:tabs>
                              <w:bidi w:val="0"/>
                              <w:spacing w:before="0" w:after="16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57.399999999999999pt;width:203.05000000000001pt;height:138.pt;z-index:-125829374;mso-wrap-distance-left:9.pt;mso-wrap-distance-top:56.399999999999999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Ростов-на-Дону, 344006</w:t>
                        <w:br/>
                        <w:t>тел. (863) 263-31-04, факс (863) 240-99-59</w:t>
                        <w:br/>
                        <w:t>е-тай: 1о61@Га5.§оу.ги</w:t>
                      </w:r>
                    </w:p>
                    <w:p>
                      <w:pPr>
                        <w:pStyle w:val="Style5"/>
                        <w:keepNext w:val="0"/>
                        <w:keepLines w:val="0"/>
                        <w:widowControl w:val="0"/>
                        <w:shd w:val="clear" w:color="auto" w:fill="auto"/>
                        <w:tabs>
                          <w:tab w:leader="underscore" w:pos="1762" w:val="left"/>
                          <w:tab w:leader="underscore" w:pos="3926" w:val="left"/>
                        </w:tabs>
                        <w:bidi w:val="0"/>
                        <w:spacing w:before="0" w:after="16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726440</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723265</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6.950000000000003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r>
        <mc:AlternateContent>
          <mc:Choice Requires="wps">
            <w:drawing>
              <wp:anchor distT="63500" distB="0" distL="0" distR="0" simplePos="0" relativeHeight="125829382" behindDoc="0" locked="0" layoutInCell="1" allowOverlap="1">
                <wp:simplePos x="0" y="0"/>
                <wp:positionH relativeFrom="page">
                  <wp:posOffset>701675</wp:posOffset>
                </wp:positionH>
                <wp:positionV relativeFrom="paragraph">
                  <wp:posOffset>5151120</wp:posOffset>
                </wp:positionV>
                <wp:extent cx="6504305" cy="917575"/>
                <wp:wrapTopAndBottom/>
                <wp:docPr id="9" name="Shape 9"/>
                <a:graphic xmlns:a="http://schemas.openxmlformats.org/drawingml/2006/main">
                  <a:graphicData uri="http://schemas.microsoft.com/office/word/2010/wordprocessingShape">
                    <wps:wsp>
                      <wps:cNvSpPr txBox="1"/>
                      <wps:spPr>
                        <a:xfrm>
                          <a:ext cx="6504305" cy="917575"/>
                        </a:xfrm>
                        <a:prstGeom prst="rect"/>
                        <a:noFill/>
                      </wps:spPr>
                      <wps:txbx>
                        <w:txbxContent>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 Председатель Комиссии: Члены Комиссии:</w:t>
                            </w:r>
                          </w:p>
                        </w:txbxContent>
                      </wps:txbx>
                      <wps:bodyPr lIns="0" tIns="0" rIns="0" bIns="0">
                        <a:noAutoFit/>
                      </wps:bodyPr>
                    </wps:wsp>
                  </a:graphicData>
                </a:graphic>
              </wp:anchor>
            </w:drawing>
          </mc:Choice>
          <mc:Fallback>
            <w:pict>
              <v:shape id="_x0000_s1035" type="#_x0000_t202" style="position:absolute;margin-left:55.25pt;margin-top:405.60000000000002pt;width:512.14999999999998pt;height:72.25pt;z-index:-125829371;mso-wrap-distance-left:0;mso-wrap-distance-top:5.pt;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 Председатель Комиссии: Члены Комиссии:</w:t>
                      </w:r>
                    </w:p>
                  </w:txbxContent>
                </v:textbox>
                <w10:wrap type="topAndBottom" anchorx="page"/>
              </v:shape>
            </w:pict>
          </mc:Fallback>
        </mc:AlternateConten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"СОЮЗ"</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660003, КРАСНОЯРСКИЙ КРАЙ, г.о. ГОРОД</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КРАСНОЯРСК, Г КРАСНОЯРСК, УЛ</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ГАСТЕЛЛО, Д. 25, КВ. 426</w:t>
      </w:r>
    </w:p>
    <w:p>
      <w:pPr>
        <w:pStyle w:val="Style10"/>
        <w:keepNext w:val="0"/>
        <w:keepLines w:val="0"/>
        <w:widowControl w:val="0"/>
        <w:shd w:val="clear" w:color="auto" w:fill="auto"/>
        <w:bidi w:val="0"/>
        <w:spacing w:before="0" w:after="220" w:line="240" w:lineRule="auto"/>
        <w:ind w:left="1020" w:right="0" w:firstLine="0"/>
        <w:jc w:val="left"/>
      </w:pPr>
      <w:r>
        <w:rPr>
          <w:color w:val="000000"/>
          <w:spacing w:val="0"/>
          <w:w w:val="100"/>
          <w:position w:val="0"/>
          <w:sz w:val="24"/>
          <w:szCs w:val="24"/>
          <w:shd w:val="clear" w:color="auto" w:fill="auto"/>
          <w:lang w:val="ru-RU" w:eastAsia="ru-RU" w:bidi="ru-RU"/>
        </w:rPr>
        <w:t>8оих_79130390665@таП.ш</w:t>
      </w:r>
    </w:p>
    <w:p>
      <w:pPr>
        <w:pStyle w:val="Style10"/>
        <w:keepNext w:val="0"/>
        <w:keepLines w:val="0"/>
        <w:widowControl w:val="0"/>
        <w:shd w:val="clear" w:color="auto" w:fill="auto"/>
        <w:bidi w:val="0"/>
        <w:spacing w:before="0" w:after="220" w:line="240" w:lineRule="auto"/>
        <w:ind w:left="1020" w:right="0" w:firstLine="0"/>
        <w:jc w:val="left"/>
      </w:pPr>
      <w:r>
        <w:rPr>
          <w:color w:val="000000"/>
          <w:spacing w:val="0"/>
          <w:w w:val="100"/>
          <w:position w:val="0"/>
          <w:sz w:val="24"/>
          <w:szCs w:val="24"/>
          <w:shd w:val="clear" w:color="auto" w:fill="auto"/>
          <w:lang w:val="ru-RU" w:eastAsia="ru-RU" w:bidi="ru-RU"/>
        </w:rPr>
        <w:t>Акционерное общество "Сбербанк-АСТ" ко@8ЬегЬапк-а8Еш</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ГБУ РО "Центральная городская больница им.</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Н.А. Семашко" в городе Ростове-на-Дону 344003, Ростовская обл, г Ростов-на-Дону, пр- кт Ворошиловский, дом 105</w:t>
      </w:r>
    </w:p>
    <w:p>
      <w:pPr>
        <w:pStyle w:val="Style10"/>
        <w:keepNext w:val="0"/>
        <w:keepLines w:val="0"/>
        <w:widowControl w:val="0"/>
        <w:shd w:val="clear" w:color="auto" w:fill="auto"/>
        <w:bidi w:val="0"/>
        <w:spacing w:before="0" w:after="1120" w:line="240" w:lineRule="auto"/>
        <w:ind w:left="1020" w:right="0" w:firstLine="0"/>
        <w:jc w:val="left"/>
      </w:pPr>
      <w:r>
        <w:rPr>
          <w:color w:val="000000"/>
          <w:spacing w:val="0"/>
          <w:w w:val="100"/>
          <w:position w:val="0"/>
          <w:sz w:val="24"/>
          <w:szCs w:val="24"/>
          <w:shd w:val="clear" w:color="auto" w:fill="auto"/>
          <w:lang w:val="ru-RU" w:eastAsia="ru-RU" w:bidi="ru-RU"/>
        </w:rPr>
        <w:t>тпа8огоктатд@таП.ш, дЬ1тед8паЬ@дтаП.сот, т1рихдЬ1@таП.ш; капп</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0"/>
        <w:keepNext w:val="0"/>
        <w:keepLines w:val="0"/>
        <w:widowControl w:val="0"/>
        <w:shd w:val="clear" w:color="auto" w:fill="auto"/>
        <w:bidi w:val="0"/>
        <w:spacing w:before="0" w:after="220" w:line="240" w:lineRule="auto"/>
        <w:ind w:left="0" w:right="0" w:firstLine="0"/>
        <w:jc w:val="center"/>
      </w:pPr>
      <w:r>
        <w:rPr>
          <w:color w:val="000000"/>
          <w:spacing w:val="0"/>
          <w:w w:val="100"/>
          <w:position w:val="0"/>
          <w:sz w:val="24"/>
          <w:szCs w:val="24"/>
          <w:shd w:val="clear" w:color="auto" w:fill="auto"/>
          <w:lang w:val="ru-RU" w:eastAsia="ru-RU" w:bidi="ru-RU"/>
        </w:rPr>
        <w:t>по результатам рассмотрения дела</w:t>
        <w:br/>
        <w:t>№061/06/42-836/2025</w:t>
      </w:r>
    </w:p>
    <w:p>
      <w:pPr>
        <w:pStyle w:val="Style10"/>
        <w:keepNext w:val="0"/>
        <w:keepLines w:val="0"/>
        <w:widowControl w:val="0"/>
        <w:shd w:val="clear" w:color="auto" w:fill="auto"/>
        <w:bidi w:val="0"/>
        <w:spacing w:before="0" w:after="140" w:line="240" w:lineRule="auto"/>
        <w:ind w:left="0" w:right="0" w:firstLine="0"/>
        <w:jc w:val="right"/>
      </w:pPr>
      <w:r>
        <mc:AlternateContent>
          <mc:Choice Requires="wps">
            <w:drawing>
              <wp:anchor distT="0" distB="0" distL="114300" distR="114300" simplePos="0" relativeHeight="125829384" behindDoc="0" locked="0" layoutInCell="1" allowOverlap="1">
                <wp:simplePos x="0" y="0"/>
                <wp:positionH relativeFrom="page">
                  <wp:posOffset>704850</wp:posOffset>
                </wp:positionH>
                <wp:positionV relativeFrom="paragraph">
                  <wp:posOffset>12700</wp:posOffset>
                </wp:positionV>
                <wp:extent cx="713105" cy="216535"/>
                <wp:wrapSquare wrapText="right"/>
                <wp:docPr id="11" name="Shape 11"/>
                <a:graphic xmlns:a="http://schemas.openxmlformats.org/drawingml/2006/main">
                  <a:graphicData uri="http://schemas.microsoft.com/office/word/2010/wordprocessingShape">
                    <wps:wsp>
                      <wps:cNvSpPr txBox="1"/>
                      <wps:spPr>
                        <a:xfrm>
                          <a:ext cx="713105"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26.03.2025</w:t>
                            </w:r>
                          </w:p>
                        </w:txbxContent>
                      </wps:txbx>
                      <wps:bodyPr wrap="none" lIns="0" tIns="0" rIns="0" bIns="0">
                        <a:noAutoFit/>
                      </wps:bodyPr>
                    </wps:wsp>
                  </a:graphicData>
                </a:graphic>
              </wp:anchor>
            </w:drawing>
          </mc:Choice>
          <mc:Fallback>
            <w:pict>
              <v:shape id="_x0000_s1037" type="#_x0000_t202" style="position:absolute;margin-left:55.5pt;margin-top:1.pt;width:56.149999999999999pt;height:17.050000000000001pt;z-index:-125829369;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26.03.2025</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г. Ростов-на-Дону</w:t>
      </w:r>
    </w:p>
    <w:p>
      <w:pPr>
        <w:pStyle w:val="Style10"/>
        <w:keepNext w:val="0"/>
        <w:keepLines w:val="0"/>
        <w:widowControl w:val="0"/>
        <w:shd w:val="clear" w:color="auto" w:fill="auto"/>
        <w:bidi w:val="0"/>
        <w:spacing w:before="0" w:after="220" w:line="240" w:lineRule="auto"/>
        <w:ind w:left="0" w:right="0" w:firstLine="8840"/>
        <w:jc w:val="both"/>
      </w:pPr>
      <w:r>
        <w:rPr>
          <w:color w:val="000000"/>
          <w:spacing w:val="0"/>
          <w:w w:val="100"/>
          <w:position w:val="0"/>
          <w:sz w:val="24"/>
          <w:szCs w:val="24"/>
          <w:shd w:val="clear" w:color="auto" w:fill="auto"/>
          <w:lang w:val="ru-RU" w:eastAsia="ru-RU" w:bidi="ru-RU"/>
        </w:rPr>
        <w:t>С.В. Батурин, В.Д. Кириленко, К.Р. Джаникян рассмотрев дело № 061/06/42-836/2025 по жалобе ООО «Союз» (далее — Заявитель) о нарушении ГБУ РО «Центральная городская больница им. Н.А. Семашко» в г. Ростове-на-Дону (далее - Заказчик) при проведении электронного аукциона №0358300068925000099 «Поставка сервера для нужд ГБУ РО «ЦГБ им. Н. А. Семашко» в г. Ростове-на-Дону»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участии лично представителей Заказчика — Ивакиной Е.А. (доверенность от 01.04.2024 №74), Дергачева В.В. (доверенность от 18.03.2025), в отсутствие представителя Заявителя, уведомленного надлежащим образом,</w:t>
      </w:r>
    </w:p>
    <w:p>
      <w:pPr>
        <w:pStyle w:val="Style10"/>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ГБУ РО «Центральная городская больница им. Н.А. Семашко» в г. Ростове-на-Дону. Заказчик в возражениях на жалобу:</w:t>
      </w:r>
    </w:p>
    <w:p>
      <w:pPr>
        <w:pStyle w:val="Style10"/>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отрицал нарушение Закона;</w:t>
      </w:r>
    </w:p>
    <w:p>
      <w:pPr>
        <w:pStyle w:val="Style10"/>
        <w:keepNext w:val="0"/>
        <w:keepLines w:val="0"/>
        <w:widowControl w:val="0"/>
        <w:numPr>
          <w:ilvl w:val="0"/>
          <w:numId w:val="1"/>
        </w:numPr>
        <w:shd w:val="clear" w:color="auto" w:fill="auto"/>
        <w:tabs>
          <w:tab w:pos="1002" w:val="left"/>
        </w:tabs>
        <w:bidi w:val="0"/>
        <w:spacing w:before="0" w:after="22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16"/>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pStyle w:val="Style10"/>
        <w:keepNext w:val="0"/>
        <w:keepLines w:val="0"/>
        <w:widowControl w:val="0"/>
        <w:shd w:val="clear" w:color="auto" w:fill="auto"/>
        <w:bidi w:val="0"/>
        <w:spacing w:before="0" w:after="0" w:line="233" w:lineRule="auto"/>
        <w:ind w:left="0" w:right="0" w:firstLine="72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0"/>
        <w:keepNext w:val="0"/>
        <w:keepLines w:val="0"/>
        <w:widowControl w:val="0"/>
        <w:shd w:val="clear" w:color="auto" w:fill="auto"/>
        <w:bidi w:val="0"/>
        <w:spacing w:before="0" w:after="0" w:line="276" w:lineRule="auto"/>
        <w:ind w:left="0" w:right="0" w:firstLine="72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rPr>
          <w:smallCaps/>
          <w:color w:val="000000"/>
          <w:spacing w:val="0"/>
          <w:w w:val="100"/>
          <w:position w:val="0"/>
          <w:sz w:val="17"/>
          <w:szCs w:val="17"/>
          <w:u w:val="single"/>
          <w:shd w:val="clear" w:color="auto" w:fill="auto"/>
          <w:lang w:val="ru-RU" w:eastAsia="ru-RU" w:bidi="ru-RU"/>
        </w:rPr>
        <w:t>\у\у\у.</w:t>
      </w:r>
      <w:r>
        <w:rPr>
          <w:color w:val="000000"/>
          <w:spacing w:val="0"/>
          <w:w w:val="100"/>
          <w:position w:val="0"/>
          <w:sz w:val="24"/>
          <w:szCs w:val="24"/>
          <w:u w:val="single"/>
          <w:shd w:val="clear" w:color="auto" w:fill="auto"/>
          <w:lang w:val="ru-RU" w:eastAsia="ru-RU" w:bidi="ru-RU"/>
        </w:rPr>
        <w:t xml:space="preserve"> хакиркгдоу. ги</w:t>
      </w:r>
      <w:r>
        <w:rPr>
          <w:color w:val="000000"/>
          <w:spacing w:val="0"/>
          <w:w w:val="100"/>
          <w:position w:val="0"/>
          <w:sz w:val="24"/>
          <w:szCs w:val="24"/>
          <w:shd w:val="clear" w:color="auto" w:fill="auto"/>
          <w:lang w:val="ru-RU" w:eastAsia="ru-RU" w:bidi="ru-RU"/>
        </w:rPr>
        <w:t xml:space="preserve"> 13.03.2025 размещено извещение о проведении закупки, согласно которому:</w:t>
      </w:r>
    </w:p>
    <w:p>
      <w:pPr>
        <w:pStyle w:val="Style10"/>
        <w:keepNext w:val="0"/>
        <w:keepLines w:val="0"/>
        <w:widowControl w:val="0"/>
        <w:numPr>
          <w:ilvl w:val="0"/>
          <w:numId w:val="1"/>
        </w:numPr>
        <w:shd w:val="clear" w:color="auto" w:fill="auto"/>
        <w:tabs>
          <w:tab w:pos="922" w:val="left"/>
        </w:tabs>
        <w:bidi w:val="0"/>
        <w:spacing w:before="0" w:after="0" w:line="233" w:lineRule="auto"/>
        <w:ind w:left="0" w:right="0" w:firstLine="72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- 21.03.2025 09:00 (МСК);</w:t>
      </w:r>
    </w:p>
    <w:p>
      <w:pPr>
        <w:pStyle w:val="Style10"/>
        <w:keepNext w:val="0"/>
        <w:keepLines w:val="0"/>
        <w:widowControl w:val="0"/>
        <w:numPr>
          <w:ilvl w:val="0"/>
          <w:numId w:val="1"/>
        </w:numPr>
        <w:shd w:val="clear" w:color="auto" w:fill="auto"/>
        <w:tabs>
          <w:tab w:pos="922" w:val="left"/>
        </w:tabs>
        <w:bidi w:val="0"/>
        <w:spacing w:before="0" w:after="240" w:line="233"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8 380 352,00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доводам жалобы, описанию объекта закупки не соответствует товар, находящийся в едином реестре радиоэлектронной продукции; описание объекта закупки соответствует продукции исключительно иностранного производителя.</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Пунктом 1 ч.1 ст.33 Закона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ч.1.1. ст.33 Закона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 совокупного толкования п.1,2 ч.1, ч.2 ст.33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считает, что действия заказчика, сформировавшего требования к конкретному товару, обращающемуся на соответствующем рынке, могут быть признаны нарушением антимонопольного законодательства и законодательства о контрактной системе лишь в случае, когда они привели к необоснованному ограничению конкуренции, созданию неоправданных барьеров хозяйствующим субъектам при реализации ими права на участие в конкурентных процедурах закупки.</w:t>
      </w:r>
    </w:p>
    <w:p>
      <w:pPr>
        <w:pStyle w:val="Style10"/>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Исходя из положений законодательства о контрактной системы в сфере закупок, ФАС России выработана правовая позиция, согласно которой объект закупки должен быть сформирован таким образом, чтобы совокупности характеристик товара соответствовало как минимум два производителя (Письмо от 19.04.2023г. № ПИ/30510/23).</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силу ч.1 ст.14 Закона при осуществлении закупок предоставляется национальный режим, обеспечивающий происходящему из иностранного государства или группы иностранных </w:t>
      </w:r>
      <w:r>
        <w:rPr>
          <w:color w:val="000000"/>
          <w:spacing w:val="0"/>
          <w:w w:val="100"/>
          <w:position w:val="0"/>
          <w:sz w:val="24"/>
          <w:szCs w:val="24"/>
          <w:shd w:val="clear" w:color="auto" w:fill="auto"/>
          <w:lang w:val="ru-RU" w:eastAsia="ru-RU" w:bidi="ru-RU"/>
        </w:rPr>
        <w:t xml:space="preserve">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w:t>
      </w:r>
      <w:r>
        <w:fldChar w:fldCharType="begin"/>
      </w:r>
      <w:r>
        <w:rPr/>
        <w:instrText> HYPERLINK "https://login.consultant.ru/link/?req=doc&amp;base=LAW&amp;n=466154&amp;dst=12373" </w:instrText>
      </w:r>
      <w:r>
        <w:fldChar w:fldCharType="separate"/>
      </w:r>
      <w:r>
        <w:rPr>
          <w:color w:val="000000"/>
          <w:spacing w:val="0"/>
          <w:w w:val="100"/>
          <w:position w:val="0"/>
          <w:sz w:val="24"/>
          <w:szCs w:val="24"/>
          <w:shd w:val="clear" w:color="auto" w:fill="auto"/>
          <w:lang w:val="ru-RU" w:eastAsia="ru-RU" w:bidi="ru-RU"/>
        </w:rPr>
        <w:t xml:space="preserve">пунктом 1 части 2 </w:t>
      </w:r>
      <w:r>
        <w:fldChar w:fldCharType="end"/>
      </w:r>
      <w:r>
        <w:rPr>
          <w:color w:val="000000"/>
          <w:spacing w:val="0"/>
          <w:w w:val="100"/>
          <w:position w:val="0"/>
          <w:sz w:val="24"/>
          <w:szCs w:val="24"/>
          <w:shd w:val="clear" w:color="auto" w:fill="auto"/>
          <w:lang w:val="ru-RU" w:eastAsia="ru-RU" w:bidi="ru-RU"/>
        </w:rPr>
        <w:t>настоящей статьи. Если иное не предусмотрено мерами, принятыми Правительством Российской Федерации в соответствии с</w:t>
      </w:r>
      <w:r>
        <w:fldChar w:fldCharType="begin"/>
      </w:r>
      <w:r>
        <w:rPr/>
        <w:instrText> HYPERLINK "https://login.consultant.ru/link/?req=doc&amp;base=LAW&amp;n=466154&amp;dst=12373" </w:instrText>
      </w:r>
      <w:r>
        <w:fldChar w:fldCharType="separate"/>
      </w:r>
      <w:r>
        <w:rPr>
          <w:color w:val="000000"/>
          <w:spacing w:val="0"/>
          <w:w w:val="100"/>
          <w:position w:val="0"/>
          <w:sz w:val="24"/>
          <w:szCs w:val="24"/>
          <w:shd w:val="clear" w:color="auto" w:fill="auto"/>
          <w:lang w:val="ru-RU" w:eastAsia="ru-RU" w:bidi="ru-RU"/>
        </w:rPr>
        <w:t xml:space="preserve"> пунктом 1 части 2 </w:t>
      </w:r>
      <w:r>
        <w:fldChar w:fldCharType="end"/>
      </w:r>
      <w:r>
        <w:rPr>
          <w:color w:val="000000"/>
          <w:spacing w:val="0"/>
          <w:w w:val="100"/>
          <w:position w:val="0"/>
          <w:sz w:val="24"/>
          <w:szCs w:val="24"/>
          <w:shd w:val="clear" w:color="auto" w:fill="auto"/>
          <w:lang w:val="ru-RU" w:eastAsia="ru-RU" w:bidi="ru-RU"/>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п.п.в) п.1 ч.2 ст.14 Закона Правительство Российской Федерации вправе с учетом положений части 3 настоящей статьи принимать меры, устанавливающие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Во исполнение указанных норм Закона Правительством РФ принято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1 Постановления ^ 1875 установлены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подпункта в ) пункта 4 Постановления ^ 1875 к включенным в объект закупки товарам, работам, услугам, указанным в приложении ^ 2 к настоящему постановлению, применяются положения настоящего постановления, касающиеся ограничения, указанного в пункте 1 настоящего постановления.</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Уведомлением от 25.03.2025 (исх.№НК/3913/25) у Заявителя запрошена информация, подтверждающая доводы жалобы: анализ рынка, данные, свидетельствующие о несоответствии иных товаров определенной Заказчиком совокупности характеристик приобретаемого товара (с указанием соответствия либо несоответствия каждой характеристики исходя из официальной инструкции производителя товара). Однако, запрошенная информация не представлена в Комиссию Ростовского УФАС России.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Требования к приобретаемому серверу сформированы в строгом соответствии с позицией Каталога товаров, работ, услуг 26.20.14.000-00000189 «Сервер». Характеристики товара, кроме описания из позиции Каталога в описании объекта закупки отсутствуют.</w:t>
      </w:r>
    </w:p>
    <w:p>
      <w:pPr>
        <w:pStyle w:val="Style10"/>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Заявителем не указаны положения описания объекта закупки («блокирующие позиции»), не позволяющие поставить товар различных производителей.</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представленными Заказчиком сведениями, описание объекта закупки позволяет принять участие в закупке с предложением о поставки оборудования 2 (двух) различных производителей с учетом требований ч.1.1 ст.33 Закона, что подтверждается представленной сравнительной таблицей в материалы дела:</w:t>
      </w:r>
    </w:p>
    <w:p>
      <w:pPr>
        <w:pStyle w:val="Style10"/>
        <w:keepNext w:val="0"/>
        <w:keepLines w:val="0"/>
        <w:widowControl w:val="0"/>
        <w:numPr>
          <w:ilvl w:val="0"/>
          <w:numId w:val="3"/>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Сервер 11оше\е1 Россия номер реестровой записи 10344963;</w:t>
      </w:r>
    </w:p>
    <w:p>
      <w:pPr>
        <w:pStyle w:val="Style10"/>
        <w:keepNext w:val="0"/>
        <w:keepLines w:val="0"/>
        <w:widowControl w:val="0"/>
        <w:numPr>
          <w:ilvl w:val="0"/>
          <w:numId w:val="3"/>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Контролшифл Плюс Россия номер реестровой записи 10461524.</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Более того на участие в аукционе подано 5 заявок с предложением товаров различных производителей (Бештау, 11оше\е1, Контролшифт Плюс).</w:t>
      </w:r>
      <w:r>
        <w:br w:type="page"/>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Заявителем в порядке ч.4 ст.106 Закона не представлено доказательств, однозначно свидетельствующих о том, что приведенное Заказчиком описание объекта закупки не соответствует ст.33 Закона.</w:t>
      </w:r>
    </w:p>
    <w:p>
      <w:pPr>
        <w:pStyle w:val="Style10"/>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 основании изложенного, довод жалобы признан необоснованным.</w:t>
      </w:r>
    </w:p>
    <w:p>
      <w:pPr>
        <w:pStyle w:val="Style10"/>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0"/>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«Союз» необоснованной.</w:t>
      </w:r>
    </w:p>
    <w:p>
      <w:pPr>
        <w:pStyle w:val="Style10"/>
        <w:keepNext w:val="0"/>
        <w:keepLines w:val="0"/>
        <w:widowControl w:val="0"/>
        <w:shd w:val="clear" w:color="auto" w:fill="auto"/>
        <w:bidi w:val="0"/>
        <w:spacing w:before="0" w:after="520" w:line="264" w:lineRule="auto"/>
        <w:ind w:left="0" w:right="0" w:firstLine="720"/>
        <w:jc w:val="both"/>
        <w:rPr>
          <w:sz w:val="22"/>
          <w:szCs w:val="22"/>
        </w:rPr>
      </w:pPr>
      <w:r>
        <w:rPr>
          <w:color w:val="000000"/>
          <w:spacing w:val="0"/>
          <w:w w:val="100"/>
          <w:position w:val="0"/>
          <w:sz w:val="22"/>
          <w:szCs w:val="22"/>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360" w:line="240" w:lineRule="auto"/>
        <w:ind w:left="0" w:right="0" w:firstLine="0"/>
        <w:jc w:val="right"/>
      </w:pPr>
      <w:r>
        <w:rPr>
          <w:color w:val="000000"/>
          <w:spacing w:val="0"/>
          <w:w w:val="100"/>
          <w:position w:val="0"/>
          <w:sz w:val="24"/>
          <w:szCs w:val="24"/>
          <w:shd w:val="clear" w:color="auto" w:fill="auto"/>
          <w:lang w:val="ru-RU" w:eastAsia="ru-RU" w:bidi="ru-RU"/>
        </w:rPr>
        <w:t>С.В. Батурин</w:t>
      </w:r>
    </w:p>
    <w:p>
      <w:pPr>
        <w:pStyle w:val="Style10"/>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620" w:line="240" w:lineRule="auto"/>
        <w:ind w:left="0" w:right="0" w:firstLine="0"/>
        <w:jc w:val="right"/>
      </w:pPr>
      <w:r>
        <w:drawing>
          <wp:anchor distT="0" distB="618490" distL="126365" distR="114935" simplePos="0" relativeHeight="125829386" behindDoc="0" locked="0" layoutInCell="1" allowOverlap="1">
            <wp:simplePos x="0" y="0"/>
            <wp:positionH relativeFrom="page">
              <wp:posOffset>2740660</wp:posOffset>
            </wp:positionH>
            <wp:positionV relativeFrom="paragraph">
              <wp:posOffset>12700</wp:posOffset>
            </wp:positionV>
            <wp:extent cx="1365250" cy="55499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1365250" cy="554990"/>
                    </a:xfrm>
                    <a:prstGeom prst="rect"/>
                  </pic:spPr>
                </pic:pic>
              </a:graphicData>
            </a:graphic>
          </wp:anchor>
        </w:drawing>
      </w:r>
      <w:r>
        <w:drawing>
          <wp:anchor distT="631190" distB="0" distL="114300" distR="160020" simplePos="0" relativeHeight="125829387" behindDoc="0" locked="0" layoutInCell="1" allowOverlap="1">
            <wp:simplePos x="0" y="0"/>
            <wp:positionH relativeFrom="page">
              <wp:posOffset>2728595</wp:posOffset>
            </wp:positionH>
            <wp:positionV relativeFrom="paragraph">
              <wp:posOffset>643890</wp:posOffset>
            </wp:positionV>
            <wp:extent cx="1334770" cy="54229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1334770" cy="542290"/>
                    </a:xfrm>
                    <a:prstGeom prst="rect"/>
                  </pic:spPr>
                </pic:pic>
              </a:graphicData>
            </a:graphic>
          </wp:anchor>
        </w:drawing>
      </w:r>
      <w:r>
        <w:rPr>
          <w:color w:val="000000"/>
          <w:spacing w:val="0"/>
          <w:w w:val="100"/>
          <w:position w:val="0"/>
          <w:sz w:val="24"/>
          <w:szCs w:val="24"/>
          <w:shd w:val="clear" w:color="auto" w:fill="auto"/>
          <w:lang w:val="ru-RU" w:eastAsia="ru-RU" w:bidi="ru-RU"/>
        </w:rPr>
        <w:t>В.Д. Кириленко</w:t>
      </w:r>
    </w:p>
    <w:p>
      <w:pPr>
        <w:pStyle w:val="Style10"/>
        <w:keepNext w:val="0"/>
        <w:keepLines w:val="0"/>
        <w:widowControl w:val="0"/>
        <w:shd w:val="clear" w:color="auto" w:fill="auto"/>
        <w:bidi w:val="0"/>
        <w:spacing w:before="0" w:after="1400" w:line="240" w:lineRule="auto"/>
        <w:ind w:left="0" w:right="0" w:firstLine="0"/>
        <w:jc w:val="right"/>
      </w:pPr>
      <w:r>
        <w:rPr>
          <w:color w:val="000000"/>
          <w:spacing w:val="0"/>
          <w:w w:val="100"/>
          <w:position w:val="0"/>
          <w:sz w:val="24"/>
          <w:szCs w:val="24"/>
          <w:shd w:val="clear" w:color="auto" w:fill="auto"/>
          <w:lang w:val="ru-RU" w:eastAsia="ru-RU" w:bidi="ru-RU"/>
        </w:rPr>
        <w:t>К.Р. Джаникян</w:t>
      </w:r>
    </w:p>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Исп.Джаникян К.Р.</w:t>
      </w:r>
    </w:p>
    <w:p>
      <w:pPr>
        <w:pStyle w:val="Style10"/>
        <w:keepNext w:val="0"/>
        <w:keepLines w:val="0"/>
        <w:widowControl w:val="0"/>
        <w:shd w:val="clear" w:color="auto" w:fill="auto"/>
        <w:bidi w:val="0"/>
        <w:spacing w:before="0" w:after="3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тел.240-86-88</w:t>
      </w:r>
    </w:p>
    <w:sectPr>
      <w:footerReference w:type="default" r:id="rId13"/>
      <w:footerReference w:type="first" r:id="rId14"/>
      <w:footnotePr>
        <w:pos w:val="pageBottom"/>
        <w:numFmt w:val="decimal"/>
        <w:numRestart w:val="continuous"/>
      </w:footnotePr>
      <w:pgSz w:w="11900" w:h="16840"/>
      <w:pgMar w:top="1006" w:right="532" w:bottom="1215" w:left="1095"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9985375</wp:posOffset>
              </wp:positionV>
              <wp:extent cx="713105" cy="100330"/>
              <wp:wrapNone/>
              <wp:docPr id="17" name="Shape 17"/>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2025-11015</w:t>
                          </w:r>
                        </w:p>
                      </w:txbxContent>
                    </wps:txbx>
                    <wps:bodyPr wrap="none" lIns="0" tIns="0" rIns="0" bIns="0">
                      <a:spAutoFit/>
                    </wps:bodyPr>
                  </wps:wsp>
                </a:graphicData>
              </a:graphic>
            </wp:anchor>
          </w:drawing>
        </mc:Choice>
        <mc:Fallback>
          <w:pict>
            <v:shape id="_x0000_s1043" type="#_x0000_t202" style="position:absolute;margin-left:57.050000000000004pt;margin-top:786.25pt;width:56.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2025-11015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9985375</wp:posOffset>
              </wp:positionV>
              <wp:extent cx="713105" cy="100330"/>
              <wp:wrapNone/>
              <wp:docPr id="19" name="Shape 19"/>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2025-11015</w:t>
                          </w:r>
                        </w:p>
                      </w:txbxContent>
                    </wps:txbx>
                    <wps:bodyPr wrap="none" lIns="0" tIns="0" rIns="0" bIns="0">
                      <a:spAutoFit/>
                    </wps:bodyPr>
                  </wps:wsp>
                </a:graphicData>
              </a:graphic>
            </wp:anchor>
          </w:drawing>
        </mc:Choice>
        <mc:Fallback>
          <w:pict>
            <v:shape id="_x0000_s1045" type="#_x0000_t202" style="position:absolute;margin-left:56.950000000000003pt;margin-top:786.25pt;width:56.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2025-11015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76099"/>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76099"/>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76099"/>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32"/>
      <w:szCs w:val="32"/>
      <w:u w:val="none"/>
    </w:rPr>
  </w:style>
  <w:style w:type="paragraph" w:customStyle="1" w:styleId="Style2">
    <w:name w:val="Основной текст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76099"/>
      <w:sz w:val="16"/>
      <w:szCs w:val="16"/>
      <w:u w:val="none"/>
    </w:rPr>
  </w:style>
  <w:style w:type="paragraph" w:customStyle="1" w:styleId="Style5">
    <w:name w:val="Основной текст (3)"/>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76099"/>
      <w:sz w:val="19"/>
      <w:szCs w:val="19"/>
      <w:u w:val="none"/>
    </w:rPr>
  </w:style>
  <w:style w:type="paragraph" w:customStyle="1" w:styleId="Style8">
    <w:name w:val="Подпись к картинке"/>
    <w:basedOn w:val="Normal"/>
    <w:link w:val="CharStyle9"/>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76099"/>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1"/>
    <w:basedOn w:val="Normal"/>
    <w:link w:val="CharStyle17"/>
    <w:pPr>
      <w:widowControl w:val="0"/>
      <w:shd w:val="clear" w:color="auto" w:fill="auto"/>
      <w:spacing w:after="22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footer" Target="footer1.xml"/><Relationship Id="rId14" Type="http://schemas.openxmlformats.org/officeDocument/2006/relationships/footer" Target="footer2.xml"/></Relationships>
</file>