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4.04.2025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15030/25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«Морозовская ДГКБ ДЗМ» Т6о1о1оЪоVа@тогоx4дкЪ.^и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Гилев Д.В.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с1атПд11е\Г3@д1паП.со1п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477" w:bottom="621" w:left="1298" w:header="0" w:footer="3" w:gutter="0"/>
          <w:pgNumType w:start="1"/>
          <w:cols w:num="2" w:space="109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АО«ЕЭТП» 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5" w:after="3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077/06/106-4355/2025 о нарушении</w:t>
        <w:br/>
        <w:t>законодательства о контрактной системе</w:t>
        <w:br/>
        <w:t>09.04.2025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ГБУЗ «Морозовская ДГКБ ДЗМ»: Е.А. Кочетковой (по дов. от 20.02.2025 №Д-27/25), В.В. Сафонова (по дов. от 27.12.2024 №138),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Гилев Д.В.,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Гилев Д.В. (далее — Заявитель) на действия ГБУЗ «Морозовская ДГКБ ДЗМ» (далее — Заказчик) при проведении электронного аукциона на право заключения государственного контракта на поставку наборов для катетеризации центральных вен, кратковременного использования для нужд ГБУЗ «Морозовская ДГКБ ДЗМ» (Закупка №0373200099725000463) (далее — электронный аукцион,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8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ст.33 Закона о контрактной систем содержит в себе закрытый перечень случаев, когда Заказчик вправе закупать товары конкретного производителя за исключением случаев, отраженных в пп. «б» - «г» п.1 ч.1 ст.33 Закона о контрактной системе,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70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7" w:bottom="526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Вместе с тем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2025-16992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нарушение ст.33 Закона о контрактной системе совокупности установленных Заказчиком требований к характеристикам необходимых к поставке товаров по п.«Набор для катетеризации центральных вен, кратковременного использования» позиции КТРУ 32.50.13.110</w:t>
        <w:softHyphen/>
        <w:t>00005159 описания объектов закупки соответствует товар единственного производителя Б.Браун Мельзунген АГ.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ограничивающим требованием к поставке товаров как минимум двух производителей, по мнению подателя жалобы, является следующее: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Длина проводника:&lt; 50 Сантиметр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 Также ограничивающим требованием к поставке иных производителей по п.2,3 описания объектов закупки является в том числе требование к составу набору: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Кабель для контроля положения катетера по данным внутрипредсердной ЭКГ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выраженного в составе жалобы, при устранении вышеуказанных требований описанию закупаемых изделий будут соответствовать товары более четырех различных производителей в соответствии с эксплуатационной документаций данных изделий.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Заказчик обеспечивает оказание медицинской помощи медицинскими работниками на основе клинических рекомендаций, а также создает условия, обеспечивающие соответствие оказываемой медицинской помощи критериям оценки качества.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ЭКГ-кабель необходим для контроля корректного расположения кончика катетера, что также подтверждается клиническими исследованиями. Контроль позиции катетера во время катетеризации позволяет снизить риск таких опасных осложнений, как тромботические и тромбоэмболические осложнения.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отношении длины проводника представитель Заказчика пояснил, что от длины проводника зависит безопасность процедуры установки катетера, излишняя длина проводника повышает риск травматизации стенки сосуда.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вопреки доводам жалобы установленным требованиям описания объекта закупки соответствуют такие изделия, как: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п.1: медицинское изделие В.Вгаип регистрационного удостоверения № ФСЗ 2010/07328 от 17.04.2023 и медицинское изделие Медипалтех регистрационного удостоверения №РЗН 2019/9454 от 26.12.2019, обладающих длиной изделия 50 см;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п.2: медицинское изделие Л1то\у регистрационного удостоверения №РЗН 2013/918 от 27.12.2021, медицинское изделие МеНегеп регистрационного удостоверения №2021/13982 от 12.04.2021 и медицинское изделие В.Вгаип регистрационного удостоверения № ФСЗ 2010/07328 от 17.04.2023, обладающих длиной изделия 45, 50 и 50 см;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п.3: медицинское изделие Л1то\у регистрационного удостоверения №РЗН 2013/918 от 27.12.2021 и медицинское изделие В.Вгаип регистрационного удостоверения № ФСЗ 2010/07328 от 17.04.2023, обладающих длиной изделия 40 и 50 см.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Заказчик декларировал вышеуказанные номера регистрационных удостоверений медицинских изделий.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принятии решения Комиссия Управления считает, что информация, размещенная на сайте Росздравнадзора, в том числе, руководство по эксплуатации, инструкция по использованию медицинского изделия, является актуальной и обладает юридической силой, следовательно, при рассмотрении заявок участников закупки комиссия по осуществлению закупок должна руководствоваться, в том числе, сведениями, размещенными на сайте Росздравнадзора, которые являются открытыми и доступны без каких-либо ограничений.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отсутствие в составе сведений, представленных в составе регистрационного удостоверения, размещенного в реестре медицинских изделий Росздравнадзора, не указывает на отсутствие оспариваемых характеристик, равно как и на наличие данных характеристик, требующего дополнительного уточнения.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Комиссией Управления установлено, что Заказчиком предоставлены документы и сведения, свидетельствующие о соответствии как минимум двух изделий различных производителей оспариваемым требованиям описания объекта закупки по п.1,2.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составе регистрационного удостоверения на медицинское изделие Л1то\у №РЗН 2013/918 отсутствует инструкция, подтверждающая наличие оспариваемых требований, в том числе наличие длины проводника, соответствующей значению «&lt; 50 Сантиметр».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данное обстоятельство обращено внимание представителя Заказчика. В свою очередь, как разъяснено представителем Заказчика, соответствие набора Л1то\у требуемым параметрам, подтверждается каталогами производителя.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Комиссией Управления был объявлен перенос заседания по рассмотрению жалобы, чтобы дать возможность Заказчику предоставить запрашиваемые дополнительные документы. После переноса заседание продолжилось, присутствовали те же представители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представитель Заказчика запрашиваемые документы не представил, при этом согласился, что по п.3 изделие Л1то\у не соответствует требованию извещения по длине проводника, поскольку равняется 60 см.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чего Комиссия Управления приходит к выводу, что по п.3 представляется возможным предложить к поставке исключительно товар производства Б.Браун Мельзунген АГ., что приводит к невозможности формирования предложения с товаром иного производителя.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Комиссия Управления приходит к выводу 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нарушении Заказчиком положений п.1 ч.1 ст.33 Закона о контрактной системе, что содержит признаки состава административного правонарушения, ответственность за которое предусмотрена ч. 5 ст. 7.30.1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6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Гилев Д.В. на действия ГБУЗ «Морозовская ДГКБ ДЗМ» обоснованной в части неправомерного формирования описания объекта закупки по п.3.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Признать в действиях Заказчика п.1 ч.1 ст.33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1114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78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800000000000004pt;margin-top:10.pt;width:145.70000000000002pt;height:19.900000000000002pt;z-index:-125829375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0" behindDoc="0" locked="0" layoutInCell="1" allowOverlap="1">
            <wp:simplePos x="0" y="0"/>
            <wp:positionH relativeFrom="page">
              <wp:posOffset>3020060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3516630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CECEC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6.90000000000003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CECEC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3470910</wp:posOffset>
                </wp:positionH>
                <wp:positionV relativeFrom="paragraph">
                  <wp:posOffset>292100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3.30000000000001pt;margin-top:2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6034405</wp:posOffset>
                </wp:positionH>
                <wp:positionV relativeFrom="paragraph">
                  <wp:posOffset>127000</wp:posOffset>
                </wp:positionV>
                <wp:extent cx="118237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75.15000000000003pt;margin-top:10.pt;width:93.100000000000009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5757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009Е4В25ОАЕ808В44Е0В7ВЕ0438СО1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>14.06.2025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6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3041015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3516630</wp:posOffset>
                </wp:positionH>
                <wp:positionV relativeFrom="paragraph">
                  <wp:posOffset>462280</wp:posOffset>
                </wp:positionV>
                <wp:extent cx="127698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CECEC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6.90000000000003pt;margin-top:36.399999999999999pt;width:100.5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CECEC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3470910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3.30000000000001pt;margin-top:11.70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5757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009ЕС1900А0083ЭС593ЕЕ489Е44Е6А415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21.01.2025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>16.04.2026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6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3020060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3516630</wp:posOffset>
                </wp:positionH>
                <wp:positionV relativeFrom="paragraph">
                  <wp:posOffset>464185</wp:posOffset>
                </wp:positionV>
                <wp:extent cx="1276985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CECEC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6.90000000000003pt;margin-top:36.550000000000004pt;width:100.5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CECEC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3470910</wp:posOffset>
                </wp:positionH>
                <wp:positionV relativeFrom="paragraph">
                  <wp:posOffset>150495</wp:posOffset>
                </wp:positionV>
                <wp:extent cx="1725295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3.30000000000001pt;margin-top:11.85pt;width:135.84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5757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00ЕЗВ71218Е970424В4Э41С7997434Е304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2025-16992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2025-16992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2025-16992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050000000000004pt;margin-top:794.70000000000005pt;width:56.6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2025-16992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30000000000001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Заголовок №3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535353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Заголовок №3"/>
    <w:basedOn w:val="Normal"/>
    <w:link w:val="CharStyle18"/>
    <w:pPr>
      <w:widowControl w:val="0"/>
      <w:shd w:val="clear" w:color="auto" w:fill="auto"/>
      <w:spacing w:after="21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7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35353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