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6619B"/>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180" w:line="240" w:lineRule="auto"/>
        <w:ind w:left="0" w:right="0" w:firstLine="0"/>
        <w:jc w:val="center"/>
        <w:rPr>
          <w:sz w:val="19"/>
          <w:szCs w:val="19"/>
        </w:rPr>
      </w:pPr>
      <w:r>
        <w:rPr>
          <w:b/>
          <w:bCs/>
          <w:color w:val="46619B"/>
          <w:spacing w:val="0"/>
          <w:w w:val="100"/>
          <w:position w:val="0"/>
          <w:sz w:val="19"/>
          <w:szCs w:val="19"/>
          <w:shd w:val="clear" w:color="auto" w:fill="auto"/>
          <w:lang w:val="ru-RU" w:eastAsia="ru-RU" w:bidi="ru-RU"/>
        </w:rPr>
        <w:t>УПРАВЛЕНИЕ</w:t>
        <w:b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color w:val="46619B"/>
          <w:spacing w:val="0"/>
          <w:w w:val="100"/>
          <w:position w:val="0"/>
          <w:sz w:val="16"/>
          <w:szCs w:val="16"/>
          <w:shd w:val="clear" w:color="auto" w:fill="auto"/>
          <w:lang w:val="ru-RU" w:eastAsia="ru-RU" w:bidi="ru-RU"/>
        </w:rPr>
        <w:t>680000, г. Хабаровск, ул. Запарина, 67</w:t>
        <w:br/>
        <w:t xml:space="preserve">тел. </w:t>
      </w:r>
      <w:r>
        <w:rPr>
          <w:color w:val="737A8A"/>
          <w:spacing w:val="0"/>
          <w:w w:val="100"/>
          <w:position w:val="0"/>
          <w:sz w:val="16"/>
          <w:szCs w:val="16"/>
          <w:shd w:val="clear" w:color="auto" w:fill="auto"/>
          <w:lang w:val="ru-RU" w:eastAsia="ru-RU" w:bidi="ru-RU"/>
        </w:rPr>
        <w:t xml:space="preserve">/ </w:t>
      </w:r>
      <w:r>
        <w:rPr>
          <w:color w:val="46619B"/>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after="180" w:line="307" w:lineRule="auto"/>
        <w:ind w:left="0" w:right="0" w:firstLine="0"/>
        <w:jc w:val="center"/>
        <w:rPr>
          <w:sz w:val="16"/>
          <w:szCs w:val="16"/>
        </w:rPr>
      </w:pPr>
      <w:r>
        <w:rPr>
          <w:color w:val="46619B"/>
          <w:spacing w:val="0"/>
          <w:w w:val="100"/>
          <w:position w:val="0"/>
          <w:sz w:val="16"/>
          <w:szCs w:val="16"/>
          <w:shd w:val="clear" w:color="auto" w:fill="auto"/>
          <w:lang w:val="ru-RU" w:eastAsia="ru-RU" w:bidi="ru-RU"/>
        </w:rPr>
        <w:t>е-таП: 1о27@Га8.§оу.ги</w:t>
      </w:r>
    </w:p>
    <w:p>
      <w:pPr>
        <w:pStyle w:val="Style11"/>
        <w:keepNext w:val="0"/>
        <w:keepLines w:val="0"/>
        <w:widowControl w:val="0"/>
        <w:shd w:val="clear" w:color="auto" w:fill="auto"/>
        <w:tabs>
          <w:tab w:pos="1814" w:val="left"/>
        </w:tabs>
        <w:bidi w:val="0"/>
        <w:spacing w:before="0" w:after="320" w:line="240" w:lineRule="auto"/>
        <w:ind w:left="0" w:right="0" w:firstLine="0"/>
        <w:jc w:val="both"/>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7.03.2025</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ЛИ/3274/2</w:t>
      </w:r>
      <w:r>
        <w:rPr>
          <w:color w:val="000000"/>
          <w:spacing w:val="0"/>
          <w:w w:val="100"/>
          <w:position w:val="0"/>
          <w:sz w:val="30"/>
          <w:szCs w:val="30"/>
          <w:shd w:val="clear" w:color="auto" w:fill="auto"/>
          <w:lang w:val="ru-RU" w:eastAsia="ru-RU" w:bidi="ru-RU"/>
        </w:rPr>
        <w:t>5</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color w:val="46619B"/>
          <w:spacing w:val="0"/>
          <w:w w:val="100"/>
          <w:position w:val="0"/>
          <w:sz w:val="18"/>
          <w:szCs w:val="18"/>
          <w:shd w:val="clear" w:color="auto" w:fill="auto"/>
          <w:lang w:val="ru-RU" w:eastAsia="ru-RU" w:bidi="ru-RU"/>
        </w:rPr>
        <w:t xml:space="preserve">На №  от</w:t>
      </w:r>
    </w:p>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КГБУЗ «Краевая клиническая больница» имени профессора С.И.</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Сергеева Министерства здравоохранения Хабаровского края</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1г^|Ы&lt;1&lt;Ь1@таП.П1</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Юдин Петр Алексеевич</w:t>
      </w:r>
    </w:p>
    <w:p>
      <w:pPr>
        <w:pStyle w:val="Style11"/>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112" w:bottom="1250" w:left="1130" w:header="0" w:footer="3" w:gutter="0"/>
          <w:pgNumType w:start="1"/>
          <w:cols w:num="2" w:space="893"/>
          <w:noEndnote/>
          <w:titlePg/>
          <w:rtlGutter w:val="0"/>
          <w:docGrid w:linePitch="360"/>
        </w:sectPr>
      </w:pPr>
      <w:r>
        <w:rPr>
          <w:color w:val="000000"/>
          <w:spacing w:val="0"/>
          <w:w w:val="100"/>
          <w:position w:val="0"/>
          <w:shd w:val="clear" w:color="auto" w:fill="auto"/>
          <w:lang w:val="ru-RU" w:eastAsia="ru-RU" w:bidi="ru-RU"/>
        </w:rPr>
        <w:t>Штре181@Ьк.ги</w:t>
      </w:r>
    </w:p>
    <w:p>
      <w:pPr>
        <w:widowControl w:val="0"/>
        <w:spacing w:line="240" w:lineRule="exact"/>
        <w:rPr>
          <w:sz w:val="19"/>
          <w:szCs w:val="19"/>
        </w:rPr>
      </w:pPr>
    </w:p>
    <w:p>
      <w:pPr>
        <w:widowControl w:val="0"/>
        <w:spacing w:line="240" w:lineRule="exact"/>
        <w:rPr>
          <w:sz w:val="19"/>
          <w:szCs w:val="19"/>
        </w:rPr>
      </w:pP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77" w:right="0" w:bottom="1193" w:left="0" w:header="0" w:footer="3" w:gutter="0"/>
          <w:cols w:space="720"/>
          <w:noEndnote/>
          <w:rtlGutter w:val="0"/>
          <w:docGrid w:linePitch="360"/>
        </w:sectPr>
      </w:pPr>
    </w:p>
    <w:p>
      <w:pPr>
        <w:pStyle w:val="Style20"/>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7-1/107</w:t>
      </w:r>
      <w:bookmarkEnd w:id="0"/>
    </w:p>
    <w:p>
      <w:pPr>
        <w:pStyle w:val="Style11"/>
        <w:keepNext w:val="0"/>
        <w:keepLines w:val="0"/>
        <w:widowControl w:val="0"/>
        <w:shd w:val="clear" w:color="auto" w:fill="auto"/>
        <w:bidi w:val="0"/>
        <w:spacing w:before="0" w:after="28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810895" cy="250190"/>
                <wp:wrapSquare wrapText="right"/>
                <wp:docPr id="5" name="Shape 5"/>
                <a:graphic xmlns:a="http://schemas.openxmlformats.org/drawingml/2006/main">
                  <a:graphicData uri="http://schemas.microsoft.com/office/word/2010/wordprocessingShape">
                    <wps:wsp>
                      <wps:cNvSpPr txBox="1"/>
                      <wps:spPr>
                        <a:xfrm>
                          <a:ext cx="81089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12.03.2025</w:t>
                            </w:r>
                          </w:p>
                        </w:txbxContent>
                      </wps:txbx>
                      <wps:bodyPr wrap="none" lIns="0" tIns="0" rIns="0" bIns="0">
                        <a:noAutoFit/>
                      </wps:bodyPr>
                    </wps:wsp>
                  </a:graphicData>
                </a:graphic>
              </wp:anchor>
            </w:drawing>
          </mc:Choice>
          <mc:Fallback>
            <w:pict>
              <v:shape id="_x0000_s1031" type="#_x0000_t202" style="position:absolute;margin-left:56.75pt;margin-top:1.pt;width:63.850000000000001pt;height:19.699999999999999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12.03.2025</w:t>
                      </w:r>
                    </w:p>
                  </w:txbxContent>
                </v:textbox>
                <w10:wrap type="square" side="right" anchorx="page"/>
              </v:shape>
            </w:pict>
          </mc:Fallback>
        </mc:AlternateContent>
      </w:r>
      <w:r>
        <w:rPr>
          <w:color w:val="000000"/>
          <w:spacing w:val="0"/>
          <w:w w:val="100"/>
          <w:position w:val="0"/>
          <w:shd w:val="clear" w:color="auto" w:fill="auto"/>
          <w:lang w:val="ru-RU" w:eastAsia="ru-RU" w:bidi="ru-RU"/>
        </w:rPr>
        <w:t>г. Хабаровск</w:t>
      </w:r>
    </w:p>
    <w:p>
      <w:pPr>
        <w:pStyle w:val="Style11"/>
        <w:keepNext w:val="0"/>
        <w:keepLines w:val="0"/>
        <w:widowControl w:val="0"/>
        <w:shd w:val="clear" w:color="auto" w:fill="auto"/>
        <w:bidi w:val="0"/>
        <w:spacing w:before="0" w:after="360" w:line="240" w:lineRule="auto"/>
        <w:ind w:left="0" w:right="0" w:firstLine="6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отдела контроля закупок в составе:</w:t>
      </w:r>
    </w:p>
    <w:tbl>
      <w:tblPr>
        <w:tblOverlap w:val="never"/>
        <w:jc w:val="center"/>
        <w:tblLayout w:type="fixed"/>
      </w:tblPr>
      <w:tblGrid>
        <w:gridCol w:w="5136"/>
        <w:gridCol w:w="5112"/>
      </w:tblGrid>
      <w:tr>
        <w:trPr>
          <w:trHeight w:val="797" w:hRule="exact"/>
        </w:trPr>
        <w:tc>
          <w:tcPr>
            <w:tcBorders/>
            <w:shd w:val="clear" w:color="auto" w:fill="auto"/>
            <w:vAlign w:val="top"/>
          </w:tcPr>
          <w:p>
            <w:pPr>
              <w:pStyle w:val="Style2"/>
              <w:keepNext w:val="0"/>
              <w:keepLines w:val="0"/>
              <w:widowControl w:val="0"/>
              <w:shd w:val="clear" w:color="auto" w:fill="auto"/>
              <w:tabs>
                <w:tab w:pos="2693"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w:t>
              <w:tab/>
              <w:t>- Л.А. Ильченко</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ru-RU" w:eastAsia="ru-RU" w:bidi="ru-RU"/>
              </w:rPr>
              <w:t>- заместитель руководителя управления;</w:t>
            </w:r>
          </w:p>
        </w:tc>
      </w:tr>
      <w:tr>
        <w:trPr>
          <w:trHeight w:val="970" w:hRule="exact"/>
        </w:trPr>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Члены Комиссии: - И.Н. Черевко</w:t>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r>
        <w:trPr>
          <w:trHeight w:val="965" w:hRule="exact"/>
        </w:trPr>
        <w:tc>
          <w:tcPr>
            <w:tcBorders/>
            <w:shd w:val="clear" w:color="auto" w:fill="auto"/>
            <w:vAlign w:val="top"/>
          </w:tcPr>
          <w:p>
            <w:pPr>
              <w:pStyle w:val="Style2"/>
              <w:keepNext w:val="0"/>
              <w:keepLines w:val="0"/>
              <w:widowControl w:val="0"/>
              <w:shd w:val="clear" w:color="auto" w:fill="auto"/>
              <w:bidi w:val="0"/>
              <w:spacing w:before="80" w:after="0" w:line="240" w:lineRule="auto"/>
              <w:ind w:left="2720" w:right="0" w:firstLine="0"/>
              <w:jc w:val="left"/>
            </w:pPr>
            <w:r>
              <w:rPr>
                <w:color w:val="000000"/>
                <w:spacing w:val="0"/>
                <w:w w:val="100"/>
                <w:position w:val="0"/>
                <w:shd w:val="clear" w:color="auto" w:fill="auto"/>
                <w:lang w:val="ru-RU" w:eastAsia="ru-RU" w:bidi="ru-RU"/>
              </w:rPr>
              <w:t>- Е.Ю. Погиба</w:t>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r>
        <w:trPr>
          <w:trHeight w:val="792" w:hRule="exact"/>
        </w:trPr>
        <w:tc>
          <w:tcPr>
            <w:tcBorders/>
            <w:shd w:val="clear" w:color="auto" w:fill="auto"/>
            <w:vAlign w:val="center"/>
          </w:tcPr>
          <w:p>
            <w:pPr>
              <w:pStyle w:val="Style2"/>
              <w:keepNext w:val="0"/>
              <w:keepLines w:val="0"/>
              <w:widowControl w:val="0"/>
              <w:shd w:val="clear" w:color="auto" w:fill="auto"/>
              <w:bidi w:val="0"/>
              <w:spacing w:before="0" w:after="0" w:line="240" w:lineRule="auto"/>
              <w:ind w:left="2720" w:right="0" w:firstLine="0"/>
              <w:jc w:val="left"/>
            </w:pPr>
            <w:r>
              <w:rPr>
                <w:color w:val="000000"/>
                <w:spacing w:val="0"/>
                <w:w w:val="100"/>
                <w:position w:val="0"/>
                <w:shd w:val="clear" w:color="auto" w:fill="auto"/>
                <w:lang w:val="ru-RU" w:eastAsia="ru-RU" w:bidi="ru-RU"/>
              </w:rPr>
              <w:t>М.А. Пилипенко</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bl>
    <w:p>
      <w:pPr>
        <w:widowControl w:val="0"/>
        <w:spacing w:after="279" w:line="1" w:lineRule="exact"/>
      </w:pP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 от:</w:t>
      </w:r>
    </w:p>
    <w:p>
      <w:pPr>
        <w:pStyle w:val="Style11"/>
        <w:keepNext w:val="0"/>
        <w:keepLines w:val="0"/>
        <w:widowControl w:val="0"/>
        <w:numPr>
          <w:ilvl w:val="0"/>
          <w:numId w:val="1"/>
        </w:numPr>
        <w:shd w:val="clear" w:color="auto" w:fill="auto"/>
        <w:tabs>
          <w:tab w:pos="121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заказчика - Краевое государственное бюджетное учреждение здравоохранения «Краевая клиническая больница» имени профессора С.И. Сергеева министерства здравоохранения Хабаровского края: Ефремова М.В. по доверенности от 10.05.2024 № 03-883;</w:t>
      </w:r>
    </w:p>
    <w:p>
      <w:pPr>
        <w:pStyle w:val="Style11"/>
        <w:keepNext w:val="0"/>
        <w:keepLines w:val="0"/>
        <w:widowControl w:val="0"/>
        <w:numPr>
          <w:ilvl w:val="0"/>
          <w:numId w:val="1"/>
        </w:numPr>
        <w:shd w:val="clear" w:color="auto" w:fill="auto"/>
        <w:tabs>
          <w:tab w:pos="1930" w:val="left"/>
        </w:tabs>
        <w:bidi w:val="0"/>
        <w:spacing w:before="0" w:after="440" w:line="240" w:lineRule="auto"/>
        <w:ind w:left="0" w:right="0" w:firstLine="720"/>
        <w:jc w:val="both"/>
      </w:pPr>
      <w:r>
        <w:rPr>
          <w:color w:val="000000"/>
          <w:spacing w:val="0"/>
          <w:w w:val="100"/>
          <w:position w:val="0"/>
          <w:shd w:val="clear" w:color="auto" w:fill="auto"/>
          <w:lang w:val="ru-RU" w:eastAsia="ru-RU" w:bidi="ru-RU"/>
        </w:rPr>
        <w:t>ИП Юдина П.А.: Минеев Е.Д. по доверенности от 11.03.2025,</w:t>
      </w:r>
    </w:p>
    <w:p>
      <w:pPr>
        <w:pStyle w:val="Style2"/>
        <w:keepNext w:val="0"/>
        <w:keepLines w:val="0"/>
        <w:widowControl w:val="0"/>
        <w:shd w:val="clear" w:color="auto" w:fill="auto"/>
        <w:bidi w:val="0"/>
        <w:spacing w:before="0" w:after="320" w:line="240" w:lineRule="auto"/>
        <w:ind w:left="0" w:right="0" w:firstLine="0"/>
        <w:jc w:val="left"/>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 ИП Юдина П.А. и материалы дела №027/06/105-398/2025, Комиссия Хабаровского УФАС России</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поступила жалоба ИП Юдина П.А. на действия заказчика - Краевое государственное бюджетное учреждение здравоохранения «Краевая клиническая больница» имени профессора С.И. Сергеева министерства здравоохранения Хабаровского края при осуществлении закупки путем проведения запроса котировок в электронной форме на поставку изделий медицинских изделий для травматологического отделения (извещение № 0322200001225000202).</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в жалобе на нарушение Заказчиком требований ч. 1.1 ст. 33 Федерального закона №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Также указывает на то, что вопреки положениям Постановления Правительства Российской Федерации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№1875) не установлено ограничение закупок товаров, происходящих из иностранных государств.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статьи 99 Закона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 0322200001225000202 о проведении запроса котировок в электронной форме размещено на официальном сайте единой информационной системы в сфере закупок 27.02.2025, Изменения в извещение внесены 03.03.2025.</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 закупки: поставка медицинских изделий для травматологического отделения.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07.03.2025 00:00 (МСК+7).</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500 000,00 рублей.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материалы дела представлен мотивированный отзыв, согласно которому считает жалобу необоснованной.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материалы дела №027/06/105-398/2025, исходя из конкретных обстоятельств настоящего дела, Комиссия Хабаровского УФАС России пришла к следующим выводам.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1 ст. 1 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Контрактная система в сфере закупок основывается на принципах открытости, </w:t>
      </w:r>
      <w:r>
        <w:rPr>
          <w:color w:val="000000"/>
          <w:spacing w:val="0"/>
          <w:w w:val="100"/>
          <w:position w:val="0"/>
          <w:shd w:val="clear" w:color="auto" w:fill="auto"/>
          <w:lang w:val="ru-RU" w:eastAsia="ru-RU" w:bidi="ru-RU"/>
        </w:rPr>
        <w:t>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3"/>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1"/>
        <w:keepNext w:val="0"/>
        <w:keepLines w:val="0"/>
        <w:widowControl w:val="0"/>
        <w:numPr>
          <w:ilvl w:val="0"/>
          <w:numId w:val="3"/>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3"/>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3"/>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1.1 ст.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w:t>
      </w:r>
      <w:r>
        <w:rPr>
          <w:color w:val="000000"/>
          <w:spacing w:val="0"/>
          <w:w w:val="100"/>
          <w:position w:val="0"/>
          <w:shd w:val="clear" w:color="auto" w:fill="auto"/>
          <w:lang w:val="ru-RU" w:eastAsia="ru-RU" w:bidi="ru-RU"/>
        </w:rPr>
        <w:t>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Ч.1 ст. 14 Закона о контрактной системе установлено,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 «б» п. 1 ч. 2 ст. 14 Закона о контрактной системе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Постановления №1875,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№2.</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предметом закупки является: «Эндопротез коленного сустава тотальный с задней стабилизацией» (код позиции КТРУ: 32.50.22.110</w:t>
        <w:softHyphen/>
        <w:t>00002248, код ОКПД2: 32.50.22.110), «Эндопротез коленного сустава тотальный с сохранением крестообразной связки» (код позиции КТРУ: 32.50.22.110-00002250, код ОКПД2: 32.50.22.110), «Эндопротез тазобедренного сустава тотальный с парой трения металл-полиэтилен» (код позиции КТРУ: 32.50.22.110-00002257, код ОКПД2: 32.50.22.110).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в жалобе указывает, что эндопротез тазобедренного сустава тотальный с парой трения металл-полиэтилен (п. 3 Технической части) описан таким образом, что под его характеристики подходит товар единственного производителя ВтИ11&amp;№р11е\\: что ограничивает круг потенциальных участников закупки.</w:t>
      </w:r>
    </w:p>
    <w:p>
      <w:pPr>
        <w:pStyle w:val="Style24"/>
        <w:keepNext w:val="0"/>
        <w:keepLines w:val="0"/>
        <w:widowControl w:val="0"/>
        <w:shd w:val="clear" w:color="auto" w:fill="auto"/>
        <w:bidi w:val="0"/>
        <w:spacing w:before="0" w:after="0" w:line="240" w:lineRule="auto"/>
        <w:ind w:left="662" w:right="0" w:firstLine="0"/>
        <w:jc w:val="left"/>
      </w:pPr>
      <w:r>
        <w:rPr>
          <w:color w:val="000000"/>
          <w:spacing w:val="0"/>
          <w:w w:val="100"/>
          <w:position w:val="0"/>
          <w:shd w:val="clear" w:color="auto" w:fill="auto"/>
          <w:lang w:val="ru-RU" w:eastAsia="ru-RU" w:bidi="ru-RU"/>
        </w:rPr>
        <w:t>Так, спорными характеристиками Заявитель указывает:</w:t>
      </w:r>
    </w:p>
    <w:tbl>
      <w:tblPr>
        <w:tblOverlap w:val="never"/>
        <w:jc w:val="center"/>
        <w:tblLayout w:type="fixed"/>
      </w:tblPr>
      <w:tblGrid>
        <w:gridCol w:w="797"/>
        <w:gridCol w:w="4925"/>
        <w:gridCol w:w="1253"/>
        <w:gridCol w:w="3182"/>
      </w:tblGrid>
      <w:tr>
        <w:trPr>
          <w:trHeight w:val="739"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 п/п</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180" w:lineRule="auto"/>
              <w:ind w:left="0" w:right="0" w:firstLine="0"/>
              <w:jc w:val="center"/>
            </w:pPr>
            <w:r>
              <w:rPr>
                <w:b/>
                <w:bCs/>
                <w:color w:val="000000"/>
                <w:spacing w:val="0"/>
                <w:w w:val="100"/>
                <w:position w:val="0"/>
                <w:shd w:val="clear" w:color="auto" w:fill="auto"/>
                <w:lang w:val="ru-RU" w:eastAsia="ru-RU" w:bidi="ru-RU"/>
              </w:rPr>
              <w:t>Наименование товара, его показателей (характеристик), потребительских свойств</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Ед. изм.</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180" w:lineRule="auto"/>
              <w:ind w:left="0" w:right="0" w:firstLine="0"/>
              <w:jc w:val="center"/>
            </w:pPr>
            <w:r>
              <w:rPr>
                <w:b/>
                <w:bCs/>
                <w:color w:val="000000"/>
                <w:spacing w:val="0"/>
                <w:w w:val="100"/>
                <w:position w:val="0"/>
                <w:shd w:val="clear" w:color="auto" w:fill="auto"/>
                <w:lang w:val="ru-RU" w:eastAsia="ru-RU" w:bidi="ru-RU"/>
              </w:rPr>
              <w:t>Значение показателя (характеристики)</w:t>
            </w:r>
          </w:p>
        </w:tc>
      </w:tr>
      <w:tr>
        <w:trPr>
          <w:trHeight w:val="1618"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3.14</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Форма (для вкладыша для ацетабулярного компонента эндопротеза тазобедренного сустава не ограничивающий движения полиэтиленового)</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Полусфера, имеет централизующий пост. Два вида: с 0° и с 20° элевацией</w:t>
            </w:r>
          </w:p>
        </w:tc>
      </w:tr>
      <w:tr>
        <w:trPr>
          <w:trHeight w:val="1944"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3.22</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Офсет головки (длина шейки) (мм): &gt; - 5 и &lt; 0; &gt; 0 и &lt; +5; &gt; +5 и &lt; +10; &gt; +10 и &lt; +15; &gt; + 15 и &lt; + 20 (для эндопротеза головки бедренной кости металлического)</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Наличие (конкретный размер из диапазона поставляется в соответствии с заявкой заказчика)</w:t>
            </w:r>
          </w:p>
        </w:tc>
      </w:tr>
      <w:tr>
        <w:trPr>
          <w:trHeight w:val="1622"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3.31</w:t>
            </w:r>
          </w:p>
        </w:tc>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Двойное покрытие (для ножки эндопротеза бедренной кости с «пресс- фит» фиксацией): пористое (титановый плазма-спрей) и гидроксиапатит</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Наличие</w:t>
            </w:r>
          </w:p>
        </w:tc>
      </w:tr>
    </w:tbl>
    <w:p>
      <w:pPr>
        <w:widowControl w:val="0"/>
        <w:spacing w:after="279" w:line="1" w:lineRule="exact"/>
      </w:pP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обоснование своей позиции Заявитель указывает, что по п. 3.14 Технической части у российского производителя отсутствует 20 градусная элевация, по п. 3.22 Технической части офсет головки (длина шейки) &gt; + 15 и &lt; + 20 отсутствует у многих производителей иностранного производства и российского, п. 3.31 Технической части пористое покрытие (титановый плазма-спрей) и гидроксиапатит имеется только у производителя ВтИ11&amp;№р11е\у.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Заказчика пояснила, что характеристика «форма (для вкладыша для ацетабулярного компонента эндопротеза тазобедренного сустава не ограничивающий движения полиэтиленового) полусфера, имеет централизующий пост. Два вида: с 0° и с 20° элевацией» дает возможность за счет антилюксационного козырька у вкладыша с углом элевации 20° увеличение объема движения в суставе и уменьшает риск вывихивания головки из вкладыша в сустав при эндопротезировании тазобедренного сустава в молодом и средних возрастах, когда пациенты ведут активный и подвижный образ жизни.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Характеристика «офсет головки (длина шейки) (мм): &gt;-5и&lt;0;&gt;0и&lt; +5; &gt; +5 и &lt; +10; &gt; +10 и &lt; +15; &gt; + 15 и &lt; + 20 (офсет эндопротеза головки бедренной кости металлического) — наличие» в данном виде, в том числе головки +16 расширяет возможности хирурга-ортопеда для восстановления естественной анатомии тазобедренного сустава индивидуально у конкретного пациента (возможность восстановления природной анатомии пациента) с учетом возраста.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Характеристика «двойное покрытие (для ножки эндопротеза бедренной кости с «пресс-фит» фиксацией): пористое (титановый плазма-спрей) и гидроксиапатит — наличие» в виде плазменно-спреевое напыление для надёжной первичной </w:t>
      </w:r>
      <w:r>
        <w:rPr>
          <w:color w:val="000000"/>
          <w:spacing w:val="0"/>
          <w:w w:val="100"/>
          <w:position w:val="0"/>
          <w:shd w:val="clear" w:color="auto" w:fill="auto"/>
          <w:lang w:val="ru-RU" w:eastAsia="ru-RU" w:bidi="ru-RU"/>
        </w:rPr>
        <w:t>стабильности (остеоинтеграции) ножки протеза, так как при установке не применяется костный цемент.</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Титановый плазма-спрей устойчив к коррозии как на воздухе, так и при соприкосновении с биологическими жидкостями, в результате чего на его поверхности образуется оксидная пленка, делая, таким образом, материал биосовместимым.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Гидроскиапатит за счет добавления его в состав обеспечивается вторичная остеоинтеграция - улучшается врастание костной ткани в имплантат (ножку). Тем самым уменьшается риск нестабильности /расшатывания ножки протеза тазобедренного сустава в бедренном канапе.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приобретение указанных эндопротезов с указанными характеристиками обусловлено необходимостью использовать их для лечения конкретных пациентов.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представитель Заказчика пояснила, что согласно характеристикам, установленным Технической частью соответствует как минимум два производителя, а именно:</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компоненты для эндопротезирования тазобедренного сустава: 1.Ножка Ро1агз1етбесцементная с гидроксиапатитным покрытием (Т/НА); 2.Головка металлическая (кобальт-хромовая); 3.Чашка (вертлужный компонент эндопротеза) КЗ; 4.Вкладыш для чашки полиэтиленовый, КЗ, РУ ФСЗ 2009/05173 от 30.01.2023, Смит энд Нефью Инк., США;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система эндопротезирования тазобедренного сустава ЕАТПЧЮТМ ( НрКер1асете111Ву81е1п ^АТIТ^^ТМ) в составе: 1. Модульная чашка бесцементная фиксация; 2. Модульный вкладыш НХЕРР; З.Модульная головка бедренной кости, конус 12/14, СоСг; 4.Бедренная ножка бесцементной фиксации, РУ РЗН 2023/21052от 10.04.2024, МэрилХелскеарПвт. Лтд., Индия.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Хабаровского УФАС России при анализе характеристик вышеуказанных производителей изделий подтверждено, что все характеристики соответствуют требованиям Технической части.</w:t>
      </w:r>
    </w:p>
    <w:p>
      <w:pPr>
        <w:pStyle w:val="Style11"/>
        <w:keepNext w:val="0"/>
        <w:keepLines w:val="0"/>
        <w:widowControl w:val="0"/>
        <w:shd w:val="clear" w:color="auto" w:fill="auto"/>
        <w:tabs>
          <w:tab w:pos="16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Также, согласно п. 10.2 информационного письма Минфина России от 31.01.2025</w:t>
        <w:tab/>
        <w:t>№24-01-06/8697 «О применении положений постановления</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Правительства Российской Федерации от 23.12.2024 №1875» перечни №1 и №2 подготовлены по результатам межведомственной проработки с учетом информации Минпромторга России о наличии на территории Российской Федерации производства указанных в перечнях №1 и №2 товаров из числа промышленной продукции. 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 описании объекта закупки заказчики должны таким образом определить требования к закупаемым товарам, чтобы, с одной стороны, не нарушать требования законодательства о контрактной системе, повысить шансы на приобретение товара именно с теми характеристиками, которые им необходимы, соответствуют их </w:t>
      </w:r>
      <w:r>
        <w:rPr>
          <w:color w:val="000000"/>
          <w:spacing w:val="0"/>
          <w:w w:val="100"/>
          <w:position w:val="0"/>
          <w:shd w:val="clear" w:color="auto" w:fill="auto"/>
          <w:lang w:val="ru-RU" w:eastAsia="ru-RU" w:bidi="ru-RU"/>
        </w:rPr>
        <w:t>потребностям, а с другой стороны, необоснованно не ограничить количество участников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закупки является поставка товара, а не его изготовление, в связи с чем, поставщиком такого товара может быть любое заинтересованное лицо, в том числе и не производитель таких товаров, что свидетельствует об обеспечении конкурентных условий среди поставщиков.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4 ст. 3 Закона о контрактной системе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пунктом 15 статьи 241 Бюджетного кодекса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офшорная компания), либо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506 Гражданского кодекса Российской Федерации по договору поставки поставщик - 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формировании предмета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не вправе определять и государственные нужды.</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не имеет возможности установить требования к техническим характеристикам товара, которые удовлетворяли бы всех возможных участников закупки. Законодательство не обязывает Заказчика при определении характеристик поставляемого товара в извещении о закупке устанавливать такие характеристики, которые соответствовали бы всем существующим на рынке типам, видам, моделям товара.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 производства продукции с характеристиками необходимыми Заказчику в Российской Федерации отсутствует, доказательств обратного Заявителем не представлено.</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Хабаровского УФАС России пришла к выводу о том, что оспариваемые положения извещения о закупке, касающиеся описания объекта закупки, соответствуют требованиям Закона о контрактной системе, в оспариваемых действиях заказчика отсутствуют нарушения требований Закона о контрактной </w:t>
      </w:r>
      <w:r>
        <w:rPr>
          <w:color w:val="000000"/>
          <w:spacing w:val="0"/>
          <w:w w:val="100"/>
          <w:position w:val="0"/>
          <w:shd w:val="clear" w:color="auto" w:fill="auto"/>
          <w:lang w:val="ru-RU" w:eastAsia="ru-RU" w:bidi="ru-RU"/>
        </w:rPr>
        <w:t>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о том, что вопреки положениям Постановления №1875 не установлено ограничение закупок товаров, происходящих из иностранных государств, признается Комиссией Хабаровского УФАС России обоснованным исходя из следующего.</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 «б» п. 1 ч. 2 ст. 14 Закона о контрактной системе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 1 Постановления Правительства Российской Федерации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№1875)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№2.</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уже отмечалось ранее объектом закупки являются эндопротезы с кодом ОКПД2 32.50.22.110.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извещении о закупке установлено преимущество в отношении товаров российского происхождения, выполняемых работ, оказываемых услуг российскими лицами.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Заказчика пояснил, что ограничение согласно перечню № 2 применяется при закупках медицинских изделий,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 Вместе с тем, указанный довод не принимается Комиссией Хабаровского УФАС России.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п.п. «д» п. 4 Постановления № 1875 позиции приложения № 1 и приложения № 2 к данному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034-2014 (КПЕС 2008)», 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034-2014 (КПЕС 2008)». При этом, если в объект закупки </w:t>
      </w:r>
      <w:r>
        <w:rPr>
          <w:color w:val="000000"/>
          <w:spacing w:val="0"/>
          <w:w w:val="100"/>
          <w:position w:val="0"/>
          <w:shd w:val="clear" w:color="auto" w:fill="auto"/>
          <w:lang w:val="ru-RU" w:eastAsia="ru-RU" w:bidi="ru-RU"/>
        </w:rPr>
        <w:t>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позицией Минфина России, изложенной в письме от 31.01.2025 № 24-01-06/8697, в приложениях № 1 - № 3 к Постановлению № 1875 в графах «Наименование товара, работы, услуги» и «Наименование товара»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ОКПД2 (от подкласса до подкатегории). В ОКПД2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ограничения закупки товаров, происходящих из иностранных государств, в соответствии с Постановлением № 1875 распространяются на всю указанную в позиции приложения № 2 к данному Постановлению группу товаров, работ, услуг по ОКПД2.</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Наименования товаров, работ, услуг в перечнях № 1 - № 3 указаны для цели отнесения закупаемых заказчиком товаров, работ, услуг к товарам, работам, услугам, в отношении которых применяются соответствующие «защитные» меры.</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об использовании указанных наименований для целей описания объекта закупки (предмета закупки) Постановлением № 1875 не установлены, в том числе поскольку указанный вопрос к предмету регулирования Постановления К 1875 не относится.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этой связи при применении Постановления № 1875 не предусматривается обеспечение дословного соответствия наименований, указанных в описании объекта закупки (предмета закупки), наименованиям, указанным в перечнях № 1 - № 3.</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(далее - перечень № 2) входит позиция № 390 с кодом ОКПД2 32.50.22.110 «Эндопротезы суставов конечностей».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поскольку приобретаемый Заказчиком товар содержится в перечне № 2, согласно положениям Постановления № 1875 необходимо устанавливать и применять ограничения.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Исходя из вышеизложенного следует, что Заказчиком в нарушение положений ч. 1 ст. 14 Закона о контрактной системе, п. 1 Постановления № 1875 установлено преимущество в отношении товаров российского происхождения, выполняемых работ, оказываемых услуг российскими лицами тогда как надлежало устанавливать </w:t>
      </w:r>
      <w:r>
        <w:rPr>
          <w:color w:val="000000"/>
          <w:spacing w:val="0"/>
          <w:w w:val="100"/>
          <w:position w:val="0"/>
          <w:shd w:val="clear" w:color="auto" w:fill="auto"/>
          <w:lang w:val="ru-RU" w:eastAsia="ru-RU" w:bidi="ru-RU"/>
        </w:rPr>
        <w:t>ограничения закупок товаров,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Указанное образует состав административного правонарушения, предусмотренного ч. 5 ст. 7.30.1 Кодекса Российской Федерации об административных правонарушениях (далее - КоАП РФ).</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в ходе проведения внеплановой проверки Комиссией Хабаровского УФАС России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 3 ч. 2 ст. 42 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составе извещения о закупке размещена «Инструкция участникам запроса котировок в электронной форме» в которой содержатся требования к содержанию, составу заявки.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Заказчиком п. 4.1.8, п. 4.1.10 устанавливается требование к документам, подтверждающим страну происхождения товара в соответствии правовыми нормативными актами, утратившими силу.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 3 ст. 7 Закона о контрактной системе указывает, что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образов, действия заказчика, установившего требования к документам, подтверждающим страну происхождения товара в соответствии правовыми нормативными актами, утратившими силу в нарушение ч. 3 ст. 7 Закона о контрактной системе, образует состав административного правонарушения, предусмотренного ч. 5 ст. 7.30.1 КоАП РФ.</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обоснованной в части неустановления ограничения закупок товаров, происходящих из иностранных государств.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Комиссия Хабаровского УФАС России приходит к выводу о необходимости выдачи предписания об устранении выявленных нарушений.</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руководствуясь частями 8 статьи 106, пунктом 3 частью 15 статьи 99 Закона о контрактной системе в сфере закупок, Комиссия Хабаровского УФАС России,</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1"/>
        <w:keepNext w:val="0"/>
        <w:keepLines w:val="0"/>
        <w:widowControl w:val="0"/>
        <w:numPr>
          <w:ilvl w:val="0"/>
          <w:numId w:val="5"/>
        </w:numPr>
        <w:shd w:val="clear" w:color="auto" w:fill="auto"/>
        <w:tabs>
          <w:tab w:pos="1094"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Признать жалобу ИП Юдина П.А. на действия заказчика - Краевое государственное бюджетное учреждение здравоохранения «Краевая клиническая больница» имени профессора С.И. Сергеева министерства здравоохранения Хабаровского края при осуществлении закупки путем проведения запроса котировок</w:t>
      </w:r>
      <w:r>
        <w:br w:type="page"/>
      </w:r>
    </w:p>
    <w:p>
      <w:pPr>
        <w:pStyle w:val="Style11"/>
        <w:keepNext w:val="0"/>
        <w:keepLines w:val="0"/>
        <w:widowControl w:val="0"/>
        <w:shd w:val="clear" w:color="auto" w:fill="auto"/>
        <w:tabs>
          <w:tab w:pos="6960" w:val="left"/>
          <w:tab w:pos="10114" w:val="left"/>
        </w:tabs>
        <w:bidi w:val="0"/>
        <w:spacing w:before="0" w:after="0" w:line="240" w:lineRule="auto"/>
        <w:ind w:left="0" w:right="0" w:firstLine="0"/>
        <w:jc w:val="both"/>
      </w:pPr>
      <w:r>
        <w:rPr>
          <w:color w:val="000000"/>
          <w:spacing w:val="0"/>
          <w:w w:val="100"/>
          <w:position w:val="0"/>
          <w:shd w:val="clear" w:color="auto" w:fill="auto"/>
          <w:lang w:val="ru-RU" w:eastAsia="ru-RU" w:bidi="ru-RU"/>
        </w:rPr>
        <w:t>в электронной форме на поставку изделий медицинских изделий для травматологического отделения (извещение №</w:t>
        <w:tab/>
        <w:t>0322200001225000202)</w:t>
        <w:tab/>
        <w:t>-</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обоснованной в части неустановления ограничения закупок товаров, происходящих из иностранных государств</w:t>
      </w:r>
      <w:r>
        <w:rPr>
          <w:b/>
          <w:bCs/>
          <w:color w:val="000000"/>
          <w:spacing w:val="0"/>
          <w:w w:val="100"/>
          <w:position w:val="0"/>
          <w:shd w:val="clear" w:color="auto" w:fill="auto"/>
          <w:lang w:val="ru-RU" w:eastAsia="ru-RU" w:bidi="ru-RU"/>
        </w:rPr>
        <w:t>.</w:t>
      </w:r>
    </w:p>
    <w:p>
      <w:pPr>
        <w:pStyle w:val="Style11"/>
        <w:keepNext w:val="0"/>
        <w:keepLines w:val="0"/>
        <w:widowControl w:val="0"/>
        <w:numPr>
          <w:ilvl w:val="0"/>
          <w:numId w:val="5"/>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Заказчика нарушившим ч. 1 ст. 14, ч. 3 ст. 7 Закона о контрактной системе.</w:t>
      </w:r>
    </w:p>
    <w:p>
      <w:pPr>
        <w:pStyle w:val="Style11"/>
        <w:keepNext w:val="0"/>
        <w:keepLines w:val="0"/>
        <w:widowControl w:val="0"/>
        <w:numPr>
          <w:ilvl w:val="0"/>
          <w:numId w:val="5"/>
        </w:numPr>
        <w:shd w:val="clear" w:color="auto" w:fill="auto"/>
        <w:tabs>
          <w:tab w:pos="18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предписание.</w:t>
      </w:r>
    </w:p>
    <w:p>
      <w:pPr>
        <w:pStyle w:val="Style11"/>
        <w:keepNext w:val="0"/>
        <w:keepLines w:val="0"/>
        <w:widowControl w:val="0"/>
        <w:numPr>
          <w:ilvl w:val="0"/>
          <w:numId w:val="5"/>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 решения вопроса о возбуждении дела об административном правонарушении.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077" w:right="540" w:bottom="1193" w:left="1103" w:header="0" w:footer="3" w:gutter="0"/>
          <w:cols w:space="720"/>
          <w:noEndnote/>
          <w:rtlGutter w:val="0"/>
          <w:docGrid w:linePitch="360"/>
        </w:sectPr>
      </w:pPr>
      <w:r>
        <mc:AlternateContent>
          <mc:Choice Requires="wps">
            <w:drawing>
              <wp:anchor distT="533400" distB="201295" distL="0" distR="0" simplePos="0" relativeHeight="125829380" behindDoc="0" locked="0" layoutInCell="1" allowOverlap="1">
                <wp:simplePos x="0" y="0"/>
                <wp:positionH relativeFrom="page">
                  <wp:posOffset>736600</wp:posOffset>
                </wp:positionH>
                <wp:positionV relativeFrom="paragraph">
                  <wp:posOffset>533400</wp:posOffset>
                </wp:positionV>
                <wp:extent cx="1828800" cy="252730"/>
                <wp:wrapTopAndBottom/>
                <wp:docPr id="7" name="Shape 7"/>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pt;margin-top:42.pt;width:144.pt;height:19.900000000000002pt;z-index:-125829373;mso-wrap-distance-left:0;mso-wrap-distance-top:42.pt;mso-wrap-distance-right:0;mso-wrap-distance-bottom:15.8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624840" distB="0" distL="0" distR="1807210" simplePos="0" relativeHeight="125829382" behindDoc="0" locked="0" layoutInCell="1" allowOverlap="1">
            <wp:simplePos x="0" y="0"/>
            <wp:positionH relativeFrom="page">
              <wp:posOffset>3202305</wp:posOffset>
            </wp:positionH>
            <wp:positionV relativeFrom="paragraph">
              <wp:posOffset>624840</wp:posOffset>
            </wp:positionV>
            <wp:extent cx="311150"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3595370</wp:posOffset>
                </wp:positionH>
                <wp:positionV relativeFrom="paragraph">
                  <wp:posOffset>694690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83.10000000000002pt;margin-top:54.700000000000003pt;width:135.84999999999999pt;height:20.15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201295" distL="0" distR="0" simplePos="0" relativeHeight="125829383" behindDoc="0" locked="0" layoutInCell="1" allowOverlap="1">
                <wp:simplePos x="0" y="0"/>
                <wp:positionH relativeFrom="page">
                  <wp:posOffset>6061710</wp:posOffset>
                </wp:positionH>
                <wp:positionV relativeFrom="paragraph">
                  <wp:posOffset>533400</wp:posOffset>
                </wp:positionV>
                <wp:extent cx="1124585" cy="252730"/>
                <wp:wrapTopAndBottom/>
                <wp:docPr id="13" name="Shape 13"/>
                <a:graphic xmlns:a="http://schemas.openxmlformats.org/drawingml/2006/main">
                  <a:graphicData uri="http://schemas.microsoft.com/office/word/2010/wordprocessingShape">
                    <wps:wsp>
                      <wps:cNvSpPr txBox="1"/>
                      <wps:spPr>
                        <a:xfrm>
                          <a:ext cx="112458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39" type="#_x0000_t202" style="position:absolute;margin-left:477.30000000000001pt;margin-top:42.pt;width:88.549999999999997pt;height:19.900000000000002pt;z-index:-125829370;mso-wrap-distance-left:0;mso-wrap-distance-top:42.pt;mso-wrap-distance-right:0;mso-wrap-distance-bottom:15.8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v:textbox>
                <w10:wrap type="topAndBottom" anchorx="page"/>
              </v:shape>
            </w:pict>
          </mc:Fallback>
        </mc:AlternateConten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464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686868"/>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Ильченко Лариса Александровна</w:t>
      </w:r>
    </w:p>
    <w:p>
      <w:pPr>
        <w:pStyle w:val="Style29"/>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53П90А0421ЕЕ18С746В01Е823Е3291СЗ</w:t>
      </w:r>
    </w:p>
    <w:p>
      <w:pPr>
        <w:pStyle w:val="Style29"/>
        <w:keepNext w:val="0"/>
        <w:keepLines w:val="0"/>
        <w:widowControl w:val="0"/>
        <w:shd w:val="clear" w:color="auto" w:fill="auto"/>
        <w:bidi w:val="0"/>
        <w:spacing w:before="0" w:after="0" w:line="240" w:lineRule="auto"/>
        <w:ind w:left="0" w:right="0" w:firstLine="0"/>
        <w:jc w:val="center"/>
      </w:pPr>
      <w:r>
        <w:rPr>
          <w:color w:val="686868"/>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05.09.2024 по </w:t>
      </w:r>
      <w:r>
        <w:rPr>
          <w:color w:val="919191"/>
          <w:spacing w:val="0"/>
          <w:w w:val="100"/>
          <w:position w:val="0"/>
          <w:shd w:val="clear" w:color="auto" w:fill="auto"/>
          <w:lang w:val="ru-RU" w:eastAsia="ru-RU" w:bidi="ru-RU"/>
        </w:rPr>
        <w:t>29.1</w:t>
      </w:r>
      <w:r>
        <w:rPr>
          <w:color w:val="252525"/>
          <w:spacing w:val="0"/>
          <w:w w:val="100"/>
          <w:position w:val="0"/>
          <w:shd w:val="clear" w:color="auto" w:fill="auto"/>
          <w:lang w:val="ru-RU" w:eastAsia="ru-RU" w:bidi="ru-RU"/>
        </w:rPr>
        <w:t>1</w:t>
      </w:r>
      <w:r>
        <w:rPr>
          <w:color w:val="686868"/>
          <w:spacing w:val="0"/>
          <w:w w:val="100"/>
          <w:position w:val="0"/>
          <w:shd w:val="clear" w:color="auto" w:fill="auto"/>
          <w:lang w:val="ru-RU" w:eastAsia="ru-RU" w:bidi="ru-RU"/>
        </w:rPr>
        <w:t>.2025</w:t>
      </w:r>
    </w:p>
    <w:p>
      <w:pPr>
        <w:widowControl w:val="0"/>
        <w:spacing w:line="1" w:lineRule="exact"/>
        <w:sectPr>
          <w:footnotePr>
            <w:pos w:val="pageBottom"/>
            <w:numFmt w:val="decimal"/>
            <w:numRestart w:val="continuous"/>
          </w:footnotePr>
          <w:type w:val="continuous"/>
          <w:pgSz w:w="11900" w:h="16840"/>
          <w:pgMar w:top="1105" w:right="546" w:bottom="1366" w:left="1106" w:header="0" w:footer="3" w:gutter="0"/>
          <w:cols w:space="720"/>
          <w:noEndnote/>
          <w:rtlGutter w:val="0"/>
          <w:docGrid w:linePitch="360"/>
        </w:sectPr>
      </w:pPr>
      <w:r>
        <mc:AlternateContent>
          <mc:Choice Requires="wps">
            <w:drawing>
              <wp:anchor distT="292100" distB="356870" distL="0" distR="0" simplePos="0" relativeHeight="125829385" behindDoc="0" locked="0" layoutInCell="1" allowOverlap="1">
                <wp:simplePos x="0" y="0"/>
                <wp:positionH relativeFrom="page">
                  <wp:posOffset>736600</wp:posOffset>
                </wp:positionH>
                <wp:positionV relativeFrom="paragraph">
                  <wp:posOffset>292100</wp:posOffset>
                </wp:positionV>
                <wp:extent cx="1341120" cy="252730"/>
                <wp:wrapTopAndBottom/>
                <wp:docPr id="15" name="Shape 15"/>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1" type="#_x0000_t202" style="position:absolute;margin-left:58.pt;margin-top:23.pt;width:105.60000000000001pt;height:19.900000000000002pt;z-index:-125829368;mso-wrap-distance-left:0;mso-wrap-distance-top:23.pt;mso-wrap-distance-right:0;mso-wrap-distance-bottom:28.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365125" distB="0" distL="0" distR="1789430" simplePos="0" relativeHeight="125829387" behindDoc="0" locked="0" layoutInCell="1" allowOverlap="1">
            <wp:simplePos x="0" y="0"/>
            <wp:positionH relativeFrom="page">
              <wp:posOffset>3178175</wp:posOffset>
            </wp:positionH>
            <wp:positionV relativeFrom="paragraph">
              <wp:posOffset>365125</wp:posOffset>
            </wp:positionV>
            <wp:extent cx="353695" cy="53657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3641725</wp:posOffset>
                </wp:positionH>
                <wp:positionV relativeFrom="paragraph">
                  <wp:posOffset>767715</wp:posOffset>
                </wp:positionV>
                <wp:extent cx="1280160" cy="103505"/>
                <wp:wrapNone/>
                <wp:docPr id="19" name="Shape 1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86.75pt;margin-top:60.450000000000003pt;width:100.8pt;height:8.15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3596005</wp:posOffset>
                </wp:positionH>
                <wp:positionV relativeFrom="paragraph">
                  <wp:posOffset>456565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83.15000000000003pt;margin-top:35.950000000000003pt;width:135.84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92100" distB="356870" distL="0" distR="0" simplePos="0" relativeHeight="125829388" behindDoc="0" locked="0" layoutInCell="1" allowOverlap="1">
                <wp:simplePos x="0" y="0"/>
                <wp:positionH relativeFrom="page">
                  <wp:posOffset>6153150</wp:posOffset>
                </wp:positionH>
                <wp:positionV relativeFrom="paragraph">
                  <wp:posOffset>292100</wp:posOffset>
                </wp:positionV>
                <wp:extent cx="1033145" cy="252730"/>
                <wp:wrapTopAndBottom/>
                <wp:docPr id="23" name="Shape 23"/>
                <a:graphic xmlns:a="http://schemas.openxmlformats.org/drawingml/2006/main">
                  <a:graphicData uri="http://schemas.microsoft.com/office/word/2010/wordprocessingShape">
                    <wps:wsp>
                      <wps:cNvSpPr txBox="1"/>
                      <wps:spPr>
                        <a:xfrm>
                          <a:ext cx="103314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И.Н. Черевко</w:t>
                            </w:r>
                          </w:p>
                        </w:txbxContent>
                      </wps:txbx>
                      <wps:bodyPr wrap="none" lIns="0" tIns="0" rIns="0" bIns="0">
                        <a:noAutoFit/>
                      </wps:bodyPr>
                    </wps:wsp>
                  </a:graphicData>
                </a:graphic>
              </wp:anchor>
            </w:drawing>
          </mc:Choice>
          <mc:Fallback>
            <w:pict>
              <v:shape id="_x0000_s1049" type="#_x0000_t202" style="position:absolute;margin-left:484.5pt;margin-top:23.pt;width:81.350000000000009pt;height:19.900000000000002pt;z-index:-125829365;mso-wrap-distance-left:0;mso-wrap-distance-top:23.pt;mso-wrap-distance-right:0;mso-wrap-distance-bottom:28.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И.Н. Черевко</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686868"/>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Черевко Ирина Николаевна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00Е269СС42В5Е0С8АЕЕ1</w:t>
      </w:r>
      <w:r>
        <w:rPr>
          <w:color w:val="252525"/>
          <w:spacing w:val="0"/>
          <w:w w:val="100"/>
          <w:position w:val="0"/>
          <w:shd w:val="clear" w:color="auto" w:fill="auto"/>
          <w:lang w:val="ru-RU" w:eastAsia="ru-RU" w:bidi="ru-RU"/>
        </w:rPr>
        <w:t>6230169ВЕЕО6Е</w:t>
      </w:r>
      <w:r>
        <w:rPr>
          <w:color w:val="252525"/>
          <w:spacing w:val="0"/>
          <w:w w:val="100"/>
          <w:position w:val="0"/>
          <w:shd w:val="clear" w:color="auto" w:fill="auto"/>
          <w:lang w:val="ru-RU" w:eastAsia="ru-RU" w:bidi="ru-RU"/>
        </w:rPr>
        <w:t>4</w:t>
      </w:r>
    </w:p>
    <w:p>
      <w:pPr>
        <w:pStyle w:val="Style29"/>
        <w:keepNext w:val="0"/>
        <w:keepLines w:val="0"/>
        <w:widowControl w:val="0"/>
        <w:shd w:val="clear" w:color="auto" w:fill="auto"/>
        <w:bidi w:val="0"/>
        <w:spacing w:before="0" w:after="600" w:line="240" w:lineRule="auto"/>
        <w:ind w:right="0" w:firstLine="0"/>
        <w:jc w:val="left"/>
      </w:pPr>
      <w:r>
        <w:rPr>
          <w:color w:val="686868"/>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03.09.2024 по </w:t>
      </w:r>
      <w:r>
        <w:rPr>
          <w:color w:val="686868"/>
          <w:spacing w:val="0"/>
          <w:w w:val="100"/>
          <w:position w:val="0"/>
          <w:shd w:val="clear" w:color="auto" w:fill="auto"/>
          <w:lang w:val="ru-RU" w:eastAsia="ru-RU" w:bidi="ru-RU"/>
        </w:rPr>
        <w:t>27.11.2025</w:t>
      </w:r>
    </w:p>
    <w:p>
      <w:pPr>
        <w:pStyle w:val="Style11"/>
        <w:keepNext w:val="0"/>
        <w:keepLines w:val="0"/>
        <w:widowControl w:val="0"/>
        <w:shd w:val="clear" w:color="auto" w:fill="auto"/>
        <w:bidi w:val="0"/>
        <w:spacing w:before="0" w:after="600" w:line="240" w:lineRule="auto"/>
        <w:ind w:left="1180" w:right="0" w:firstLine="0"/>
        <w:jc w:val="left"/>
      </w:pPr>
      <w:r>
        <w:drawing>
          <wp:anchor distT="0" distB="0" distL="114300" distR="1903730" simplePos="0" relativeHeight="125829390" behindDoc="0" locked="0" layoutInCell="1" allowOverlap="1">
            <wp:simplePos x="0" y="0"/>
            <wp:positionH relativeFrom="page">
              <wp:posOffset>3144520</wp:posOffset>
            </wp:positionH>
            <wp:positionV relativeFrom="paragraph">
              <wp:posOffset>25400</wp:posOffset>
            </wp:positionV>
            <wp:extent cx="389890" cy="57277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3641090</wp:posOffset>
                </wp:positionH>
                <wp:positionV relativeFrom="paragraph">
                  <wp:posOffset>461010</wp:posOffset>
                </wp:positionV>
                <wp:extent cx="1276985" cy="103505"/>
                <wp:wrapNone/>
                <wp:docPr id="27" name="Shape 27"/>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86.69999999999999pt;margin-top:36.300000000000004pt;width:100.55pt;height:8.1500000000000004pt;z-index:251657735;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3595370</wp:posOffset>
                </wp:positionH>
                <wp:positionV relativeFrom="paragraph">
                  <wp:posOffset>150495</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83.10000000000002pt;margin-top:11.85pt;width:135.84999999999999pt;height:20.15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Е.Ю. Погиба</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686868"/>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Погиба Елена Юрьевна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05527ВЗВ3988ЕВ0ОАО9СЕ0ЕЕ)Е72А0Е64</w:t>
      </w:r>
    </w:p>
    <w:p>
      <w:pPr>
        <w:pStyle w:val="Style29"/>
        <w:keepNext w:val="0"/>
        <w:keepLines w:val="0"/>
        <w:widowControl w:val="0"/>
        <w:shd w:val="clear" w:color="auto" w:fill="auto"/>
        <w:bidi w:val="0"/>
        <w:spacing w:before="0" w:after="600" w:line="240" w:lineRule="auto"/>
        <w:ind w:right="0" w:firstLine="0"/>
        <w:jc w:val="left"/>
      </w:pPr>
      <w:r>
        <w:rPr>
          <w:color w:val="686868"/>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03.09.2024 по </w:t>
      </w:r>
      <w:r>
        <w:rPr>
          <w:color w:val="686868"/>
          <w:spacing w:val="0"/>
          <w:w w:val="100"/>
          <w:position w:val="0"/>
          <w:shd w:val="clear" w:color="auto" w:fill="auto"/>
          <w:lang w:val="ru-RU" w:eastAsia="ru-RU" w:bidi="ru-RU"/>
        </w:rPr>
        <w:t>27.11.2025</w:t>
      </w:r>
    </w:p>
    <w:p>
      <w:pPr>
        <w:pStyle w:val="Style11"/>
        <w:keepNext w:val="0"/>
        <w:keepLines w:val="0"/>
        <w:widowControl w:val="0"/>
        <w:shd w:val="clear" w:color="auto" w:fill="auto"/>
        <w:bidi w:val="0"/>
        <w:spacing w:before="0" w:after="370" w:line="240" w:lineRule="auto"/>
        <w:ind w:left="0" w:right="0" w:firstLine="740"/>
        <w:jc w:val="left"/>
      </w:pPr>
      <w:r>
        <w:drawing>
          <wp:anchor distT="0" distB="0" distL="114300" distR="1903730" simplePos="0" relativeHeight="125829391" behindDoc="0" locked="0" layoutInCell="1" allowOverlap="1">
            <wp:simplePos x="0" y="0"/>
            <wp:positionH relativeFrom="page">
              <wp:posOffset>3178175</wp:posOffset>
            </wp:positionH>
            <wp:positionV relativeFrom="paragraph">
              <wp:posOffset>63500</wp:posOffset>
            </wp:positionV>
            <wp:extent cx="353695" cy="39624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3"/>
                    <a:stretch/>
                  </pic:blipFill>
                  <pic:spPr>
                    <a:xfrm>
                      <a:ext cx="353695" cy="396240"/>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3596005</wp:posOffset>
                </wp:positionH>
                <wp:positionV relativeFrom="paragraph">
                  <wp:posOffset>154940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83.15000000000003pt;margin-top:12.200000000000001pt;width:135.84999999999999pt;height:20.15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М.А. Пилипенко</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640" w:right="0" w:firstLine="0"/>
        <w:jc w:val="left"/>
        <w:rPr>
          <w:sz w:val="12"/>
          <w:szCs w:val="12"/>
        </w:rPr>
      </w:pPr>
      <w:r>
        <w:rPr>
          <w:rFonts w:ascii="Georgia" w:eastAsia="Georgia" w:hAnsi="Georgia" w:cs="Georgia"/>
          <w:color w:val="E9E9E9"/>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686868"/>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Пилипенко Мария Алексеевна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0797ЕЕЕОЮ318В18АСОС7С191ЕСОССЕЕ</w:t>
      </w:r>
    </w:p>
    <w:p>
      <w:pPr>
        <w:pStyle w:val="Style29"/>
        <w:keepNext w:val="0"/>
        <w:keepLines w:val="0"/>
        <w:widowControl w:val="0"/>
        <w:shd w:val="clear" w:color="auto" w:fill="auto"/>
        <w:bidi w:val="0"/>
        <w:spacing w:before="0" w:after="1460" w:line="240" w:lineRule="auto"/>
        <w:ind w:right="0" w:firstLine="0"/>
        <w:jc w:val="left"/>
      </w:pPr>
      <w:r>
        <w:rPr>
          <w:color w:val="686868"/>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86868"/>
          <w:spacing w:val="0"/>
          <w:w w:val="100"/>
          <w:position w:val="0"/>
          <w:shd w:val="clear" w:color="auto" w:fill="auto"/>
          <w:lang w:val="ru-RU" w:eastAsia="ru-RU" w:bidi="ru-RU"/>
        </w:rPr>
        <w:t xml:space="preserve">09.01.2025 </w:t>
      </w:r>
      <w:r>
        <w:rPr>
          <w:spacing w:val="0"/>
          <w:w w:val="100"/>
          <w:position w:val="0"/>
          <w:shd w:val="clear" w:color="auto" w:fill="auto"/>
          <w:lang w:val="ru-RU" w:eastAsia="ru-RU" w:bidi="ru-RU"/>
        </w:rPr>
        <w:t xml:space="preserve">по </w:t>
      </w:r>
      <w:r>
        <w:rPr>
          <w:color w:val="686868"/>
          <w:spacing w:val="0"/>
          <w:w w:val="100"/>
          <w:position w:val="0"/>
          <w:shd w:val="clear" w:color="auto" w:fill="auto"/>
          <w:lang w:val="ru-RU" w:eastAsia="ru-RU" w:bidi="ru-RU"/>
        </w:rPr>
        <w:t>04.04.2026</w:t>
      </w:r>
    </w:p>
    <w:p>
      <w:pPr>
        <w:pStyle w:val="Style2"/>
        <w:keepNext w:val="0"/>
        <w:keepLines w:val="0"/>
        <w:widowControl w:val="0"/>
        <w:shd w:val="clear" w:color="auto" w:fill="auto"/>
        <w:bidi w:val="0"/>
        <w:spacing w:before="0" w:after="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Исп.Погиба Е.Ю. тел.(4212) 31-11-91</w:t>
      </w:r>
    </w:p>
    <w:sectPr>
      <w:footnotePr>
        <w:pos w:val="pageBottom"/>
        <w:numFmt w:val="decimal"/>
        <w:numRestart w:val="continuous"/>
      </w:footnotePr>
      <w:type w:val="continuous"/>
      <w:pgSz w:w="11900" w:h="16840"/>
      <w:pgMar w:top="1105" w:right="54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9999980</wp:posOffset>
              </wp:positionV>
              <wp:extent cx="6470650" cy="106680"/>
              <wp:wrapNone/>
              <wp:docPr id="1" name="Shape 1"/>
              <a:graphic xmlns:a="http://schemas.openxmlformats.org/drawingml/2006/main">
                <a:graphicData uri="http://schemas.microsoft.com/office/word/2010/wordprocessingShape">
                  <wps:wsp>
                    <wps:cNvSpPr txBox="1"/>
                    <wps:spPr>
                      <a:xfrm>
                        <a:ext cx="6470650" cy="106680"/>
                      </a:xfrm>
                      <a:prstGeom prst="rect"/>
                      <a:noFill/>
                    </wps:spPr>
                    <wps:txbx>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2025-3421</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7.39999999999998pt;width:509.5pt;height:8.40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2025-3421</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3" name="Shape 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2025-3421</w:t>
                          </w:r>
                        </w:p>
                      </w:txbxContent>
                    </wps:txbx>
                    <wps:bodyPr wrap="none" lIns="0" tIns="0" rIns="0" bIns="0">
                      <a:spAutoFit/>
                    </wps:bodyPr>
                  </wps:wsp>
                </a:graphicData>
              </a:graphic>
            </wp:anchor>
          </w:drawing>
        </mc:Choice>
        <mc:Fallback>
          <w:pict>
            <v:shape id="_x0000_s1029"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2025-3421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1">
    <w:name w:val="Заголовок №1_"/>
    <w:basedOn w:val="DefaultParagraphFont"/>
    <w:link w:val="Style20"/>
    <w:rPr>
      <w:rFonts w:ascii="Times New Roman" w:eastAsia="Times New Roman" w:hAnsi="Times New Roman" w:cs="Times New Roman"/>
      <w:b/>
      <w:bCs/>
      <w:i w:val="0"/>
      <w:iCs w:val="0"/>
      <w:smallCaps w:val="0"/>
      <w:strike w:val="0"/>
      <w:sz w:val="28"/>
      <w:szCs w:val="28"/>
      <w:u w:val="none"/>
    </w:rPr>
  </w:style>
  <w:style w:type="character" w:customStyle="1" w:styleId="CharStyle25">
    <w:name w:val="Подпись к таблице_"/>
    <w:basedOn w:val="DefaultParagraphFont"/>
    <w:link w:val="Style24"/>
    <w:rPr>
      <w:rFonts w:ascii="Times New Roman" w:eastAsia="Times New Roman" w:hAnsi="Times New Roman" w:cs="Times New Roman"/>
      <w:b w:val="0"/>
      <w:bCs w:val="0"/>
      <w:i w:val="0"/>
      <w:iCs w:val="0"/>
      <w:smallCaps w:val="0"/>
      <w:strike w:val="0"/>
      <w:sz w:val="28"/>
      <w:szCs w:val="28"/>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3D3D3D"/>
      <w:sz w:val="12"/>
      <w:szCs w:val="1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0">
    <w:name w:val="Заголовок №1"/>
    <w:basedOn w:val="Normal"/>
    <w:link w:val="CharStyle21"/>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4">
    <w:name w:val="Подпись к таблице"/>
    <w:basedOn w:val="Normal"/>
    <w:link w:val="CharStyle25"/>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29">
    <w:name w:val="Основной текст (2)"/>
    <w:basedOn w:val="Normal"/>
    <w:link w:val="CharStyle30"/>
    <w:pPr>
      <w:widowControl w:val="0"/>
      <w:shd w:val="clear" w:color="auto" w:fill="auto"/>
      <w:ind w:left="3920"/>
    </w:pPr>
    <w:rPr>
      <w:rFonts w:ascii="Arial" w:eastAsia="Arial" w:hAnsi="Arial" w:cs="Arial"/>
      <w:b w:val="0"/>
      <w:bCs w:val="0"/>
      <w:i w:val="0"/>
      <w:iCs w:val="0"/>
      <w:smallCaps w:val="0"/>
      <w:strike w:val="0"/>
      <w:color w:val="3D3D3D"/>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