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7475" distL="1174750" distR="1139190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59753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1036320" distL="168910" distR="142240" simplePos="0" relativeHeight="125829379" behindDoc="0" locked="0" layoutInCell="1" allowOverlap="1">
                <wp:simplePos x="0" y="0"/>
                <wp:positionH relativeFrom="page">
                  <wp:posOffset>776605</wp:posOffset>
                </wp:positionH>
                <wp:positionV relativeFrom="paragraph">
                  <wp:posOffset>622300</wp:posOffset>
                </wp:positionV>
                <wp:extent cx="2514600" cy="16090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14600" cy="1609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  <w:br/>
                            </w: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  <w:br/>
                            </w: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1о86@Га8.§оу.ги, сайт 1Шр://11тао.Га8.§оу.ги</w:t>
                              <w:br/>
                              <w:t>ИНН 8601009316 КПП 860101001 ОГРН 1028600512093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1.149999999999999pt;margin-top:49.pt;width:198.pt;height:126.7pt;z-index:-125829374;mso-wrap-distance-left:13.300000000000001pt;mso-wrap-distance-top:48.pt;mso-wrap-distance-right:11.200000000000001pt;mso-wrap-distance-bottom:81.6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  <w:br/>
                      </w: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ул. Мира, д. 27, Ханты-Мансийск, 628012</w:t>
                        <w:br/>
                        <w:t>телефон/факс +7 (3467) 38-80-81</w:t>
                        <w:br/>
                      </w: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1о86@Га8.§оу.ги, сайт 1Шр://11тао.Га8.§оу.ги</w:t>
                        <w:br/>
                        <w:t>ИНН 8601009316 КПП 860101001 ОГРН 1028600512093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25370" distB="792480" distL="114300" distR="132715" simplePos="0" relativeHeight="125829381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2338070</wp:posOffset>
                </wp:positionV>
                <wp:extent cx="2578735" cy="13716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850000000000001pt;margin-top:184.09999999999999pt;width:203.05000000000001pt;height:10.800000000000001pt;z-index:-125829372;mso-wrap-distance-left:9.pt;mso-wrap-distance-top:183.0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75305" distB="0" distL="117475" distR="114300" simplePos="0" relativeHeight="125829383" behindDoc="0" locked="0" layoutInCell="1" allowOverlap="1">
            <wp:simplePos x="0" y="0"/>
            <wp:positionH relativeFrom="page">
              <wp:posOffset>725170</wp:posOffset>
            </wp:positionH>
            <wp:positionV relativeFrom="paragraph">
              <wp:posOffset>3088005</wp:posOffset>
            </wp:positionV>
            <wp:extent cx="2597150" cy="18288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2652395</wp:posOffset>
                </wp:positionV>
                <wp:extent cx="2578735" cy="13081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850000000000001pt;margin-top:208.84999999999999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39700" distB="0" distL="114300" distR="114300" simplePos="0" relativeHeight="125829384" behindDoc="0" locked="0" layoutInCell="1" allowOverlap="1">
            <wp:simplePos x="0" y="0"/>
            <wp:positionH relativeFrom="page">
              <wp:posOffset>715645</wp:posOffset>
            </wp:positionH>
            <wp:positionV relativeFrom="paragraph">
              <wp:posOffset>9253855</wp:posOffset>
            </wp:positionV>
            <wp:extent cx="1517650" cy="2927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"ЕЭТП"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115114, Россия, Москва, ул. Кожевническая, 14, стр. 5.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Муниципальное бюджетное учреждение дополнительного образования спортивная школа олимпийского резерва «Ермак» 628400, ХМАО - Югра, г. Сургут, ул.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Энергетиков, 47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города Сургута 628404, ХМАО-Югра, г. Сургут, ул. Восход, д. 4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МЦ «Наджа»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2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628401, ХМАО — Югры, г. Сургут, ул.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left"/>
      </w:pPr>
      <w:r>
        <w:rPr>
          <w:color w:val="02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Мелик-Карамова, д. 76, к. В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086/06/51-159/2025</w:t>
      </w:r>
      <w:bookmarkEnd w:id="8"/>
    </w:p>
    <w:p>
      <w:pPr>
        <w:pStyle w:val="Style17"/>
        <w:keepNext w:val="0"/>
        <w:keepLines w:val="0"/>
        <w:widowControl w:val="0"/>
        <w:shd w:val="clear" w:color="auto" w:fill="auto"/>
        <w:tabs>
          <w:tab w:pos="816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24.01.2025</w:t>
        <w:tab/>
        <w:t>г. Ханты-Мансийск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29.01.2025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Управление) по контролю в сфере закупок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Тимиргалиев В.А. - Заместитель руководителя Управления;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Ядыкова М.Р. - Главный специалист-эксперт отдела Управления;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D0D0D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Мацола А.А. - Эксперт отдела Управления,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Заказчика — отсутствовали, уведомлены надлежащим образом;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Уполномоченного орган — посредством видеоконференц-связи Абдулина А.С. по доверенности №10 от 09.01.2025;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Заявителя — посредством видеоконференц-связи Барская А.Г. по доверенности №01 от 20.01.2025,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МЦ «Наджа» (ИНН: 8602227109; ОГРН: 1028600593328) от 21.01.2025г. № 575/25 на действия Заказчика — Муниципальное бюджетное учреждение дополни</w:t>
        <w:softHyphen/>
        <w:t xml:space="preserve">тельного образования спортивная школа олимпийского резерва «Ермак», Уполномоченного органа — Администрация города Сургута при проведении электронного аукциона, предметом которой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является Оказание услуг по проведению медицинского осмотра по программе углубленного медицинского обследования (УМО) лиц, обучающихся спорту в 2025 году (извещение № 0187300006524002100) и в результате осуществления внеплановой проверки в соответствии с пунктом 1 части 15 статьи 99 Федерального закона от 05.04.2013 ^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20" w:line="276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жалоба ООО МЦ «Наджа» (ИНН: 8602227109; ОГРН: 1028600593328) от 21.01.2025г. № 575/25 на действия Заказчика — Муниципальное бюджетное учреждение дополнительного образования спортивная школа олимпийского резерва «Ермак», Уполномоченного органа — Администрация города Сургута при проведении электронного аукциона, предметом которой является Оказание услуг по проведению медицинского осмотра по программе углубленного медицинского обследования (УМО) лиц, обучающихся спорту в 2025 году (извещение № 0187300006524002100).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доводе жалобы Заявитель указал следующее: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Ввиду технических проблем на торговой площадке РОСЭЛТОРГ, готовности Исполните</w:t>
        <w:softHyphen/>
        <w:t>ля подписать контракт, считаем действия Заказчика неправомерными.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доводов сторон, материалов дела и проведения внеплановой проверки, Комиссией Управления установлено следующее.</w:t>
      </w:r>
      <w:bookmarkEnd w:id="1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довода жалобы Комиссия Управления поясняет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2 статьи 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настоящей статьи: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настоящего Федерального закона, который должен содержать: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информацию, предусмотренную частью 6 статьи 30, пунктами 1, 2, 5 - 8, 10, 17, 18 и 20 части 1 статьи 42 настоящего Федерального закона;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цену контракта, соответствующую цене контракта, предложенной в соответствии с настоящим Федеральным законом участником закупки, с которым заключается контракт, с учетом положений нормативных правовых актов, принятых в соответствии со статьей 14 настоящего Федерального закона, положений статей 28 и 29 настоящего Федерального закона, цену каждого отдельного этапа исполнения контракта, определенную в соответствии с частью 2 статьи 34 настоящего Федерального закона (если проектом контракта предусмотрены отдельные этапы его исполнения). Предусмотренная настоящим подпунктом информация включается в проект контракта, за исключением случаев включения в него информации, предусмотренной подпунктами "в" или "г" настоящего пункта;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максимальное значение цены контракта и цену единицы товара, работы, услуги, соответствующие максимальному значению цены контракта, указанному в извещении об осуществлении закупки, с учетом положений нормативных правовых актов, принятых в соответствии со статьей 14 настоящего Федерального закона, положений статей 28 и 29 настоящего Федерального закона (в случае, предусмотренном частью 24 статьи 22 настоящего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Федерального закона). При этом цена единицы товара, работы, услуги определяется путем уменьшения начальной цены такой единицы, указанной в извещении об осуществлении закупки, пропорционально снижению начальной суммы цен единиц товаров, работ, услуг, предложенному участником закупки, с которым заключается контракт;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размер платы, подлежащей внесению в соответствии с настоящим Федеральным законом участником закупки, с которым заключается контракт, за заключение контракта на счет, на котором в соответствии с законодательством Российской Федерации учитываются операции со средствами, поступающими заказчику (в случаях, предусмотренных настоящим Федеральным законом);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информацию, предусмотренную подпунктами "а", "б", "г", "е" и "п" пункта 1, подпунктами "а" и "б" пункта 2 части 1 статьи 43 настоящего Федерального закона, а также информацию, предусмотренную подпунктом "г" пункта 2 указанной части, в случае проведения электронного конкурса. При этом информация, предусмотренная подпунктами "а", "б", "г" и "е" пункта 1 части 1 статьи 43 настоящего Федерального закона, указывается с использованием единой информационной системы по состоянию на дату и время формирования проекта контракта;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9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иные документы (при наличии).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части 3 статьи 51 Закона о контрактной системе не позднее пяти рабочих дней, следующих за днем размещения заказчиком в соответствии с частью 2 настоящей статьи проекта контракта, участник закупки, с которым заключается контракт, осуществляет одно из следующих действий: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одном или нескольких из следующих случаев: а) наличие разногласий в отношении информации, включенной в проект контракта в соответствии с пунктом 1 части 2 настоящей статьи,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б) несогласие заключить контракт, содержащий условия, предусмотренные пунктом 2 части 2 настоящей статьи.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3 части 3 статьи 51 Закона о контрактной системе не позднее пяти рабочих дней, следующих за днем размещения заказчиком в соответствии с частью 2 настоящей статьи проекта контракта, участник закупки, с которым заключается контракт, осуществляет одно из следующих действий: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3)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отказ от заключения контракта в случае, предусмотренном пунктом 1 части 17.2 статьи 95 настоящего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пунктам 1-3 части 4 статьи 51 Закона о контрактной системе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частью 3 настоящей статьи, заказчик осуществляет одно из следующих действий: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размещает в единой информационной системе и на электронной площадке (с использованием единой информационной системы) подписанный усиленной электронной подписью лица, имеющего право действовать от имени заказчика, контракт (за исключением случаев, установленных настоящим Федеральным законом, и не ранее срока, предусмотренного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1 настоящей статьи) в случае, если участник закупки, с которым заключается контракт, разместил информацию и документы в соответствии с пунктом 1 части 3 настоящей статьи. 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контракта, действия, предусмотренные настоящим пунктом, осуществляются заказчиком при условии поступления на счет, на котором в соответствии с законодательством Российской Федерации учитываются операции со средствами, поступающими заказчику, денежных средств в размере платы, подлежащей внесению за заключение контракта, предложенной участником закупки, с которым заключается контракт;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с учетом информации, содержащейся в протоколе разногласий, размещенном участником закупки, с которым заключается контракт, в соответствии с пунктом 2 части 3 настоящей статьи;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содержащейся в протоколе разногласий, размещенном участником закупки, с которым заключается контракт, в соответствии с пунктом 2 части 3 настоящей статьи. При таком размещении заказчик также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(без размещения на официальном сайте) информацию о причинах отказа учесть полностью или частично информацию, содержащуюся в протоколе разногласий. При этом информация, предусмотренная подпунктом "б" пункта 2 части 3 настоящей статьи, подлежит обязательному учету.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5 статьи 51 Закона о контрактной системе не позднее одного рабочего дня, следующего за датой размещения заказчиком информации и документов в соответствии с пунктом 2 или 3 части 4 настоящей статьи, участник закупки, с которым заключается контракт, осуще</w:t>
        <w:softHyphen/>
        <w:t>ствляет действия, предусмотренные пунктом 1 части 3 настоящей статьи. Заказчик не позднее двух рабочих дней, следующих за днем осуществления таких действий участником закупки, размещает в единой информационной системе и на электронной площадке (с использованием единой инфор</w:t>
        <w:softHyphen/>
        <w:t>мационной системы) подписанный усиленной электронной подписью лица, имеющего право дей</w:t>
        <w:softHyphen/>
        <w:t>ствовать от имени заказчика, контракт (за исключением случаев, установленных настоящим Феде</w:t>
        <w:softHyphen/>
        <w:t>ральным законом, и не ранее срока, предусмотренного частью 1 настоящей статьи). Контракт счи</w:t>
        <w:softHyphen/>
        <w:t>тается заключенным в день размещения контракта, подписанного усиленной электронной подпи</w:t>
        <w:softHyphen/>
        <w:t>сью лица, имеющего право действовать от имени заказчика, в единой информационной системе. В случаях, предусмотренных частью 5 статьи 103 настоящего Федерального закона, такой подписан</w:t>
        <w:softHyphen/>
        <w:t>ный контракт не размещается на официальном сайте.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.01.2025 Заказчиком на электронной площадке размещен Протокол признания участника уклонившимся от заключения контракта от 16.01.2025 №1111У20 2, из которого следует следующее (выдержка из текста):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«Регламентированный срок подписания проекта контракта участником истек 15.01.2025. В нарушение требований части 3 статьи 51 Закона 44-ФЗ проект контракта не подписан участником в установленный срок. На основании вышеизложенного, заказчиком принято решение о признании участника уклонившемся от заключения контракта.».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Победителем закупки 28.11.2024 был подписан проект контракта и в качестве обеспечение исполнения Контракта была представлена независимая гарантия №24/0044/А8Т/ММБ/161527 от 28.11.2024, выданная ПАО «Сбербанк России» (срок действия с 28.11.2024 по 30.09.2025, сумма 216 528,00 рублей).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информации, размещенной на сайте АО «ЕЭТП» (Росэлторг): на сайте электронной торговой площадки АО «ЕЭТП» и на сайтах торговых секций, проводились внеплановые техниче</w:t>
        <w:softHyphen/>
        <w:t>ские работы. В подтверждение представлено письмо АО «ЕЭТП» от 16.01.2025 г. № Е52-25, в ко</w:t>
        <w:softHyphen/>
        <w:t>тором оператор электронной торговой площадки (далее -ЭТП) подтверждает, что в период с 09.01.2025 г. по 05:00 (по московскому времени) 16.01.2025 г. на сайте гозекогд.ш проводились внеплановые технические работы, в связи с чем, временно отсутствовала возможность по элек</w:t>
        <w:softHyphen/>
        <w:t>тронным закупкам в рамках Федерального закона «О контрактной системе в сфере закупок това</w:t>
        <w:softHyphen/>
        <w:t>ров, работ, услуг для обеспечения государственных и муниципальных нужд» от 05.04.2013 № 44- ФЗ совершить запланированные действия, в том числе по подаче заявки, размещению протоколов, подписанию проектов контрактов и иные.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в действиях Заказчика, Уполномоченного органа нарушений не выявлено, довод Заявителя является необоснованным.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ООО МЦ «Наджа» (ИНН: 8602227109; ОГРН: 1028600593328) от 21.01.2025г. № 575/25 рассмотрена Комиссией Управления в соответствии с требованиями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МЦ «Наджа» (ИНН: 8602227109; ОГРН: 1028600593328) от 21.01.2025г. № 575/25 на действия Заказчика — Муниципальное бюджетное учреждение дополнительного образования спортивная школа олимпийского резерва «Ермак», Уполномоченного органа — Администрация города Сургута при проведении электронного аукциона, предметом которой является Оказание услуг по проведению медицинского осмотра по программе углубленного медицинского обследования (УМО) лиц, обучающихся спорту в 2025 году (извещение № 0187300006524002100) необоснованной.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5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0" w:val="left"/>
        </w:tabs>
        <w:bidi w:val="0"/>
        <w:spacing w:before="0" w:after="8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Направить данное решение сторонам и опубликовать на официальном сайте единой информационной системы в сфере закупок ( </w:t>
      </w:r>
      <w:r>
        <w:rPr>
          <w:smallCaps/>
          <w:color w:val="00008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закирк! .доуги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).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136" w:val="left"/>
        </w:tabs>
        <w:bidi w:val="0"/>
        <w:spacing w:before="0" w:after="9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В.А. Тимиргалиев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136" w:val="left"/>
        </w:tabs>
        <w:bidi w:val="0"/>
        <w:spacing w:before="0" w:after="9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М.Р. Ядыкова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68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Мацола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Решение антимонопольного органа может быть обжаловано в течение трех месяцев в порядке, установленном законода</w:t>
        <w:softHyphen/>
        <w:t>тельством Российской Федерации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1071" w:right="534" w:bottom="1261" w:left="1103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9991725</wp:posOffset>
              </wp:positionV>
              <wp:extent cx="55753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75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100000000000001pt;margin-top:786.75pt;width:43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9956800</wp:posOffset>
              </wp:positionV>
              <wp:extent cx="5575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75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50000000000001pt;margin-top:784.pt;width:43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9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ind w:left="51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