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mc:AlternateContent>
          <mc:Choice Requires="wps">
            <w:drawing>
              <wp:anchor distT="0" distB="88900" distL="114300" distR="1050290" simplePos="0" relativeHeight="125829378" behindDoc="0" locked="0" layoutInCell="1" allowOverlap="1">
                <wp:simplePos x="0" y="0"/>
                <wp:positionH relativeFrom="page">
                  <wp:posOffset>624205</wp:posOffset>
                </wp:positionH>
                <wp:positionV relativeFrom="paragraph">
                  <wp:posOffset>12700</wp:posOffset>
                </wp:positionV>
                <wp:extent cx="2575560" cy="124650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575560" cy="12465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  <w:br/>
                              <w:t>Федеральной антимонопольной</w:t>
                              <w:br/>
                              <w:t>службы</w:t>
                              <w:br/>
                              <w:t>по Республике Татарстан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9.149999999999999pt;margin-top:1.pt;width:202.80000000000001pt;height:98.150000000000006pt;z-index:-125829375;mso-wrap-distance-left:9.pt;mso-wrap-distance-right:82.700000000000003pt;mso-wrap-distance-bottom:7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УПРАВЛЕНИЕ</w:t>
                        <w:br/>
                        <w:t>Федеральной антимонопольной</w:t>
                        <w:br/>
                        <w:t>службы</w:t>
                        <w:br/>
                        <w:t>по Республике Татарстан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w:drawing>
          <wp:anchor distT="125095" distB="554990" distL="3040380" distR="114300" simplePos="0" relativeHeight="125829380" behindDoc="0" locked="0" layoutInCell="1" allowOverlap="1">
            <wp:simplePos x="0" y="0"/>
            <wp:positionH relativeFrom="page">
              <wp:posOffset>3550285</wp:posOffset>
            </wp:positionH>
            <wp:positionV relativeFrom="paragraph">
              <wp:posOffset>137795</wp:posOffset>
            </wp:positionV>
            <wp:extent cx="585470" cy="65849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85470" cy="65849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ул. Московская, д. 55. г. Казань, 420021</w:t>
        <w:br/>
        <w:t>тел.: (843) 236-89-22, факс (843) 238-19-46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76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е-таИ: К&gt;16@(а8.§оу.ги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  <w:br/>
        <w:t>ФЕДЕРАЛЬ ХЕЗМЭТ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z w:val="24"/>
          <w:szCs w:val="24"/>
          <w:shd w:val="clear" w:color="auto" w:fill="auto"/>
          <w:lang w:val="ru-RU" w:eastAsia="ru-RU" w:bidi="ru-RU"/>
        </w:rPr>
        <w:t>Монополиягэ каршы</w:t>
        <w:br/>
        <w:t>Федераль хезмэтнец</w:t>
        <w:br/>
        <w:t>Татарстан Республикасы</w:t>
        <w:br/>
        <w:t>буенча идарэсе</w:t>
      </w:r>
    </w:p>
    <w:p>
      <w:pPr>
        <w:pStyle w:val="Style4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center"/>
        <w:sectPr>
          <w:headerReference w:type="default" r:id="rId7"/>
          <w:footerReference w:type="default" r:id="rId8"/>
          <w:headerReference w:type="even" r:id="rId9"/>
          <w:footerReference w:type="even" r:id="rId10"/>
          <w:footnotePr>
            <w:pos w:val="pageBottom"/>
            <w:numFmt w:val="decimal"/>
            <w:numRestart w:val="continuous"/>
          </w:footnotePr>
          <w:pgSz w:w="11900" w:h="16840"/>
          <w:pgMar w:top="898" w:right="1403" w:bottom="1103" w:left="1554" w:header="0" w:footer="3" w:gutter="0"/>
          <w:pgNumType w:start="1"/>
          <w:cols w:num="2" w:space="2520"/>
          <w:noEndnote/>
          <w:rtlGutter w:val="0"/>
          <w:docGrid w:linePitch="360"/>
        </w:sectPr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Москоу ур., 55 йорг, Казан шэЬэре, 42002</w:t>
      </w:r>
      <w:r>
        <w:rPr>
          <w:color w:val="6E92CB"/>
          <w:spacing w:val="0"/>
          <w:w w:val="100"/>
          <w:position w:val="0"/>
          <w:shd w:val="clear" w:color="auto" w:fill="auto"/>
          <w:lang w:val="ru-RU" w:eastAsia="ru-RU" w:bidi="ru-RU"/>
        </w:rPr>
        <w:t>1</w:t>
        <w:br/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тел.: (843) 236-89-22, факс (843) 238-19-46</w:t>
        <w:br/>
        <w:t>е-таП: Ю16@.Га8.§оу.ги</w:t>
      </w:r>
    </w:p>
    <w:p>
      <w:pPr>
        <w:widowControl w:val="0"/>
        <w:spacing w:line="8" w:lineRule="exact"/>
        <w:rPr>
          <w:sz w:val="2"/>
          <w:szCs w:val="2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4" w:right="0" w:bottom="1107" w:left="0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 w:line="240" w:lineRule="auto"/>
        <w:ind w:left="0" w:right="0" w:firstLine="0"/>
        <w:jc w:val="left"/>
        <w:rPr>
          <w:sz w:val="22"/>
          <w:szCs w:val="22"/>
        </w:rPr>
      </w:pPr>
      <w:r>
        <w:rPr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 xml:space="preserve">На </w:t>
      </w:r>
      <w:r>
        <w:rPr>
          <w:b w:val="0"/>
          <w:bCs w:val="0"/>
          <w:color w:val="506892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№</w:t>
      </w:r>
      <w:r>
        <w:rPr>
          <w:b w:val="0"/>
          <w:bCs w:val="0"/>
          <w:spacing w:val="0"/>
          <w:w w:val="100"/>
          <w:position w:val="0"/>
          <w:sz w:val="22"/>
          <w:szCs w:val="22"/>
          <w:shd w:val="clear" w:color="auto" w:fill="auto"/>
          <w:lang w:val="ru-RU" w:eastAsia="ru-RU" w:bidi="ru-RU"/>
        </w:rPr>
        <w:t>от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Заказчику: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ГОСУДАРСТВЕННОЕ АВТОНОМНОЕ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ПРОФЕССИОНАЛЬНОЕ ОБРАЗОВАТЕЛЬНОЕ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УЧРЕЖДЕНИЕ «ЕЛАБУЖСКИЙ ПОЛИТЕХНИЧЕСКИЙ КОЛЛЕДЖ»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ТгоГ1тоуа.59@таП.ги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42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Заявителю: ООО «САЙНТИФИКА» тГо@8с1епНйса.ги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по делу № 016/06/49-1533/2024</w:t>
        <w:br/>
        <w:t>о нарушении законодательства в сфере закупок товаров, работ, услуг</w:t>
        <w:br/>
        <w:t>для обеспечения государственных и муниципальных нужд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8808" w:val="left"/>
        </w:tabs>
        <w:bidi w:val="0"/>
        <w:spacing w:before="0" w:after="3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11 ноября 2024 года</w:t>
        <w:tab/>
        <w:t>г. Казань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- Комиссия) в составе: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5096" w:val="left"/>
          <w:tab w:pos="6704" w:val="left"/>
          <w:tab w:pos="7803" w:val="left"/>
        </w:tabs>
        <w:bidi w:val="0"/>
        <w:spacing w:before="0" w:after="0" w:line="240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Председателя Комиссии:</w:t>
        <w:tab/>
        <w:t>Яфизова</w:t>
        <w:tab/>
        <w:t>А.А.</w:t>
        <w:tab/>
        <w:t>- заместителя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522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руководителя,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5096" w:val="left"/>
          <w:tab w:pos="7803" w:val="left"/>
          <w:tab w:pos="8389" w:val="left"/>
        </w:tabs>
        <w:bidi w:val="0"/>
        <w:spacing w:before="0" w:after="0" w:line="257" w:lineRule="auto"/>
        <w:ind w:left="0" w:right="0" w:firstLine="6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  <w:tab/>
        <w:t>Никитиной И.Г.</w:t>
        <w:tab/>
        <w:t>-</w:t>
        <w:tab/>
        <w:t>специалиста-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3946" w:val="left"/>
        </w:tabs>
        <w:bidi w:val="0"/>
        <w:spacing w:before="0" w:after="0" w:line="257" w:lineRule="auto"/>
        <w:ind w:left="0" w:right="0" w:firstLine="52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эксперта, Лукиной Е.В. - специалиста I разряда, в присутствии представителя заказчика ГАПОУ «ЕЛАБУЖСКИЙ ПОЛИТЕХНИЧЕСКИЙ КОЛЛЕДЖ» - Трофимовой Т.В. (по доверенности), в отсутствии представителей заявителя ООО «САЙНТИФИКА», рассмотрев посредством видеоконференции жалобу заявителя ООО «САИНТИФИКА» (вх. №11899/ж от 02.11.2024</w:t>
        <w:tab/>
        <w:t>г.) на действия ГАПОУ «ЕЛАБУЖСКИЙ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0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ПОЛИТЕХНИЧЕСКИЙ КОЛЛЕДЖ» при проведении закупки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№0711200018024000003 на предмет: «Интерактивная панель»,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Извещение о проведении электронного аукциона №0711200018024000003 размещено на официальном сайте Российской Федерации </w:t>
      </w:r>
      <w:r>
        <w:rPr>
          <w:color w:val="000000"/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 xml:space="preserve">АУУАУ.гакиркт.цоу.ги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21.10.2024 г.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Начальная (максимальная) цена контракта - 3 786 666,7 руб.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Суть жалобы, по мнению заявителя, закупка проводится с нарушениями норм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 с доводами, изложенными в жалобе, согласился, представил письменные и устные пояснения.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Татарстанского УФАС России по результатам рассмотрения доводов заявителя на действия заказчика и позиции заказчика, изучения документации электронного аукциона приходит к следующим выводам.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Относительно довода заявителя о неправомерном допуске участников без проверки требований согласно ПП РФ от 10.07.2019 № 878.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3 части 2 статьи 42 Закона о контрактной системе извещение об осуществлении закупки, если иное не предусмотрено настоящим Федеральным законом,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пункте 15 части 1 статьи 42 Закона о контрактной системе указано, что при осуществлении закупки путем проведения открытых конкурентных способов заказчик формирует с использованием единой информационной системы, подписывает усиленной электронной подписью лица, имеющего право действовать от имени заказчика, и размещает в единой информационной системе извещение об осуществлении закупки, содержащее информацию об условиях, о запретах и о</w:t>
      </w:r>
      <w:r>
        <w:rPr>
          <w:color w:val="000000"/>
          <w:spacing w:val="0"/>
          <w:w w:val="100"/>
          <w:position w:val="0"/>
          <w:shd w:val="clear" w:color="auto" w:fill="auto"/>
          <w:vertAlign w:val="superscript"/>
          <w:lang w:val="ru-RU" w:eastAsia="ru-RU" w:bidi="ru-RU"/>
        </w:rPr>
        <w:t xml:space="preserve">г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ограничениях допуска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такие условия, запреты и ограничения установлены в соответствии со статьей 14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8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 подпунктами "м" - "п" пункта 1, подпунктами "а" - "в" пункта 2, пунктом 5 части 1 статьи 43 настоящего Федерального закона. Заявка также может содержать информацию и документы, предусмотренные подпунктом "д" пункта 2 части 1 статьи 43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соответствии с подпунктом «а» пункта 1 части 5 статьи 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площадки в соответствии с пунктом 4 части 4 настоящей статьи,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пунктами 1-8 части 12 статьи 48 настоящего Федерального закона.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4 части 12 статьи 48 Закона о контрактной системе установлено, что при рассмотрении вторых частей заявок на участие в закупке соответствующая заявка подлежит отклонению в случаях предусмотренных нормативными правовыми актами, принятыми в соответствии со статьей 14 настоящего Федерального закона (за исключением случаев непредставления информации и документов, предусмотренных пунктом 5 части 1 статьи 43 настоящего Федерального закона).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рамках предмета рассматриваемой закупки Заказчиком во исполнение требований статьи 14 Закона о контрактной системе были установлены ограничения допуска в соответствии с Постановлением Правительства РФ от 10.07.2019 И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И 925 и признании утратившими силу некоторых актов Правительства Российской Федерации».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Пунктом 3(1) Постановления Правительства № 878 установлено, в случае если в предмет одного контракта включена радиоэлектронная продукция, предусмотренная пунктами 5, 7 - 9, 13 (в части систем хранения данных), заказчик отклоняет все заявки, содержащие предложения о поставке радиоэлектронной продукции (за исключением содержащих предложение о поставке радиоэлектронной продукции первого уровня), при условии, что на участие в закупке подана 1 (или более) заявка, которая удовлетворяет требованиям извещения об осуществлении закупки, документации о закупке, и которая одновременно содержит предложение о поставке соответствующей радиоэлектронной продукции только первого уровня.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4" w:right="626" w:bottom="1107" w:left="958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пунктом 1.9.3 Приложения №3 к извещению «Требования к содержанию, составу заявки на участие в закупке и инструкция по ее заполнению» заявка на участие в закупке должна содержать номер реестровой записи из реестра российской радиоэлектронной продукции или евразийского реестра промышленных товаров, а для целей подтверждения первого уровня радиоэлектронной продукции - также сведения о первом уровне радиоэлектронной продукции. В случае отсутствия в заявке на участие вышеупомянутых документов и информации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Так, в соответствии с протоколом подведения итогов определения поставщика (подрядчика, исполнителя) от 31.10.2024 г. №ИЭА1 на участие в аукционе подано 8 заявок: из них 3 заявки (№2151658, №2152110, №2152139) отклонены на основании нормативных правовых актов, принятых в соответствии со статьей 14 Закона о контрактной системе (за исключением случаев непредставления информации и документов, предусмотренных пунктом 5 части 1 статьи 43 Закона 44-ФЗ).</w:t>
      </w:r>
    </w:p>
    <w:p>
      <w:pPr>
        <w:pStyle w:val="Style11"/>
        <w:keepNext w:val="0"/>
        <w:keepLines w:val="0"/>
        <w:widowControl w:val="0"/>
        <w:shd w:val="clear" w:color="auto" w:fill="auto"/>
        <w:tabs>
          <w:tab w:pos="1805" w:val="left"/>
          <w:tab w:pos="3514" w:val="left"/>
          <w:tab w:pos="5213" w:val="left"/>
          <w:tab w:pos="692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закупке подано 5 удовлетворяющих требованиям извещения заявок (№2152074,</w:t>
        <w:tab/>
        <w:t>№2151934,</w:t>
        <w:tab/>
        <w:t>№2152122,</w:t>
        <w:tab/>
        <w:t>№2152106,</w:t>
        <w:tab/>
        <w:t>№2150183), содержащих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предложения о поставке радиоэлектронной продукции, страной происхождения которой являются только государства - члены Евразийского экономического союза.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Победителем закупки признана заявка участника ООО «СИБИРЬТОРГ» (№2152074) с ценовым предложением 3 190 000,00 рублей.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Заявитель полагает, что Заказчик неправомерно осуществил допуск четырех участников без проверки требований согласно ПП РФ № 878, так как заявителем в составе заявки (2150183) был приложен реестровый номер № 10551724 с первьг уровнем радиоэлектронной продукции и участники, предоставившие реестровые номера с другим уровнем или без уровня должны быть отклонены.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Также заявитель отметил, что его товар соответствует требованиям заказчика, что подтверждается ТУ производителя (ТУ 26.20.13-024-770901001-2024 от 09.09.2024 г.) и Выпиской из реестра российской продукции (№10551724 от 09.09.2024 г.), в которой также содержатся сведения о первом уровне радиоэлектронной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ходе анализа заявки победителя закупки Комиссией установлено, что ООО «СИБИРЬТОРГ» продекларирована реестровый запись №5652\4\2022 (10375063) от 06.02.2023 г. из Реестра промышленной продукции, произведенной на территории Российской Федерации.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установлено, что под реестровым номером № 10375063 от 06.02.2023 г. в Реестре российской промышленной продукции содержится товар с наименованием «Устройство информационное сенсорное: интерактивный сенсорный дисплей ПЕРО ВТ70-75И», изготовленный в соответствии с ДАЦН.161443.001ТУ, сведения об уровне радиоэлектронной продукции отсутствуют.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Участниками закупки ООО «АЛГОРИТМ» (№2151934), ООО «КИТ» (№2152122) продекларирован аналогичный реестровый номер №10375063, по которому так же отсутствуют сведения об уровне радиоэлектронной продукции.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«СИТИ МЕДИА КАЗАНЬ» (№2152106) указан реестровый номер №10490481 от 12.10.2023 г, под которым в Реестре российской промышленной продукции содержится товар с наименованием «Интерактивная панель (комплекс) Ьшшеп ЕМР7504МЕКИ», изготовленный в соответствии с ТУ 26.20.13-002- 64446118-2017. Уровень радиоэлектронной продукции - второй.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среди пяти заявок (№2152074, №2151934, №2152122, №2152106, №2150183), признанных комиссией соответствующими извещению, имеется только одна заявка ООО «САЙНТИФИКА» удовлетворяющая требования Закона о контрактной системе и Постановления Правительства № 878.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Следовательно, на основании пункта 3(1) Постановления Правительства № 878 при наличии хотя бы одной заявки с предложением радиоэлектронной продукции первого уровня, заказчик обязан отклонить все остальные заявки.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Вследствие этого, заявки четырех участников (№2152074, №2151934, №2152122, №2152106) неправомерно признаны соответствующими требованиям извещения, поскольку ООО «САЙНТИФИКА подана заявка, содержащая предложения о поставке радиоэлектронной продукции первого уровня.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изложенных обстоятельств в совокупности, Комиссия приходит к выводу об обоснованности довода заявителя.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Заказчиком были нарушены требования подпункта «а» пункта 1 части 5 статьи 49 Закона о контрактной системе, пункта 3(1) Постановления № 878.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Учитывая вышеизложенные обстоятельства, Комиссия Татарстанского УФАС России принимает решение выдать Заказчику, Оператору ЭТП предписание об отмене итогового протокола №ИЭА1 от 31.10.2024 и повторном рассмотрении заявок с учетом требований действующего законодательства.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вышеизложенного, руководствуясь пунктом 2 части 22 статьи 99, частью 8 статьи 106 Федерального закона от 05.04.2013г. № 44-ФЗ «О контрактной системе в сфере закупок товаров, работ, услуг для обеспечения государственных и муниципальных нужд», Комиссия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заявителя ООО «САЙНТИФИКА» (№11899/ж от 02.11.2024 г.) на действия ГАПОУ «ЕЛАБУЖСКИЙ ПОЛИТЕХНИЧЕСКИЙ КОЛЛЕДЖ» при проведении закупки №0711200018024000003 на предмет: «Интерактивная панель» обоснованной.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Заказчика - ГАПОУ «ЕЛАБУЖСКИЙ ПОЛИТЕХНИЧЕСКИЙ КОЛЛЕДЖ», нарушившими требования подпункта «а» пункта 1 части 5 статьи 49 Федерального закона от 05.04.2013 №44-ФЗ «О контрактной системе в сфере закупок товаров, работ, услуг для обеспечения государственных и муниципальных нужд», пункта 3(1) Постановления Правительства РФ от 10.07.2019 И 878 «О мерах стимулирования производства радиоэлектронной продукции на территории Российской Федерации при осуществлении закупок товаров, работ, услуг для обеспечения государственных и муниципальных нужд, о внесении изменений в постановление Правительства Российской Федерации от 16 сентября 2016 г. X 925 и признании утратившими силу некоторых актов Правительства Российской Федерации».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- ГАПОУ «ЕЛАБУЖСКИЙ ПОЛИТЕХНИЧЕСКИЙ КОЛЛЕДЖ» и Оператору ЭТП АГЗ РТ предписание об отмене итогового протокола №ИЭА1 от 31.10.2024 и повторном рассмотрении заявок с учетом требований действующего законодательства.</w:t>
      </w:r>
    </w:p>
    <w:p>
      <w:pPr>
        <w:pStyle w:val="Style11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26" w:val="left"/>
        </w:tabs>
        <w:bidi w:val="0"/>
        <w:spacing w:before="0" w:after="0" w:line="240" w:lineRule="auto"/>
        <w:ind w:left="0" w:right="0" w:firstLine="740"/>
        <w:jc w:val="both"/>
        <w:sectPr>
          <w:headerReference w:type="default" r:id="rId11"/>
          <w:footerReference w:type="default" r:id="rId12"/>
          <w:headerReference w:type="even" r:id="rId13"/>
          <w:footerReference w:type="even" r:id="rId14"/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094" w:right="626" w:bottom="1107" w:left="958" w:header="0" w:footer="679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 лиц, допустивших нарушение норм законодательства о</w:t>
      </w:r>
    </w:p>
    <w:p>
      <w:pPr>
        <w:widowControl w:val="0"/>
        <w:spacing w:line="179" w:lineRule="exact"/>
        <w:rPr>
          <w:sz w:val="14"/>
          <w:szCs w:val="14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089" w:right="626" w:bottom="1089" w:left="99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 w:val="0"/>
        <w:keepLines w:val="0"/>
        <w:framePr w:w="2635" w:h="350" w:wrap="none" w:vAnchor="text" w:hAnchor="page" w:x="102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контрактной системе.</w:t>
      </w:r>
    </w:p>
    <w:p>
      <w:pPr>
        <w:pStyle w:val="Style20"/>
        <w:keepNext w:val="0"/>
        <w:keepLines w:val="0"/>
        <w:framePr w:w="2333" w:h="350" w:wrap="none" w:vAnchor="text" w:hAnchor="page" w:x="8937" w:y="64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порядке в течение</w:t>
      </w:r>
    </w:p>
    <w:p>
      <w:pPr>
        <w:pStyle w:val="Style20"/>
        <w:keepNext w:val="0"/>
        <w:keepLines w:val="0"/>
        <w:framePr w:w="1579" w:h="355" w:wrap="none" w:vAnchor="text" w:hAnchor="page" w:x="9643" w:y="194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А.А. Яфизов</w:t>
      </w:r>
    </w:p>
    <w:p>
      <w:pPr>
        <w:pStyle w:val="Style20"/>
        <w:keepNext w:val="0"/>
        <w:keepLines w:val="0"/>
        <w:framePr w:w="1824" w:h="341" w:wrap="none" w:vAnchor="text" w:hAnchor="page" w:x="9451" w:y="2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И.Г. Никитина</w:t>
      </w:r>
    </w:p>
    <w:p>
      <w:pPr>
        <w:pStyle w:val="Style20"/>
        <w:keepNext w:val="0"/>
        <w:keepLines w:val="0"/>
        <w:framePr w:w="1526" w:h="341" w:wrap="none" w:vAnchor="text" w:hAnchor="page" w:x="9700" w:y="324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Е.В. Лукина</w:t>
      </w:r>
    </w:p>
    <w:p>
      <w:pPr>
        <w:pStyle w:val="Style11"/>
        <w:keepNext w:val="0"/>
        <w:keepLines w:val="0"/>
        <w:framePr w:w="7522" w:h="677" w:wrap="none" w:vAnchor="text" w:hAnchor="page" w:x="1017" w:y="649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Комиссии может быть обжаловано в судебн трех месяцев со дня его принятия.</w:t>
      </w:r>
    </w:p>
    <w:p>
      <w:pPr>
        <w:pStyle w:val="Style11"/>
        <w:keepNext w:val="0"/>
        <w:keepLines w:val="0"/>
        <w:framePr w:w="2981" w:h="350" w:wrap="none" w:vAnchor="text" w:hAnchor="page" w:x="1722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 Комиссии</w:t>
      </w:r>
    </w:p>
    <w:p>
      <w:pPr>
        <w:pStyle w:val="Style11"/>
        <w:keepNext w:val="0"/>
        <w:keepLines w:val="0"/>
        <w:framePr w:w="2117" w:h="341" w:wrap="none" w:vAnchor="text" w:hAnchor="page" w:x="1722" w:y="258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22"/>
        <w:keepNext w:val="0"/>
        <w:keepLines w:val="0"/>
        <w:framePr w:w="3365" w:h="254" w:wrap="none" w:vAnchor="text" w:hAnchor="page" w:x="997" w:y="1416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Исп.: Е.В. Лукина Тел. (843) 238-24-86</w:t>
      </w:r>
    </w:p>
    <w:p>
      <w:pPr>
        <w:widowControl w:val="0"/>
        <w:spacing w:line="360" w:lineRule="exact"/>
      </w:pPr>
      <w:r>
        <w:drawing>
          <wp:anchor distT="0" distB="0" distL="0" distR="1197610" simplePos="0" relativeHeight="62914698" behindDoc="1" locked="0" layoutInCell="1" allowOverlap="1">
            <wp:simplePos x="0" y="0"/>
            <wp:positionH relativeFrom="page">
              <wp:posOffset>3937000</wp:posOffset>
            </wp:positionH>
            <wp:positionV relativeFrom="paragraph">
              <wp:posOffset>362585</wp:posOffset>
            </wp:positionV>
            <wp:extent cx="2023745" cy="2602865"/>
            <wp:wrapNone/>
            <wp:docPr id="13" name="Shap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box 14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2023745" cy="260286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373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089" w:right="626" w:bottom="1089" w:left="996" w:header="0" w:footer="661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757555</wp:posOffset>
              </wp:positionH>
              <wp:positionV relativeFrom="page">
                <wp:posOffset>10125075</wp:posOffset>
              </wp:positionV>
              <wp:extent cx="563880" cy="125095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63880" cy="1250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rFonts w:ascii="Palatino Linotype" w:eastAsia="Palatino Linotype" w:hAnsi="Palatino Linotype" w:cs="Palatino Linotype"/>
                              <w:color w:val="000000"/>
                              <w:spacing w:val="0"/>
                              <w:w w:val="100"/>
                              <w:position w:val="0"/>
                              <w:sz w:val="26"/>
                              <w:szCs w:val="26"/>
                              <w:shd w:val="clear" w:color="auto" w:fill="auto"/>
                              <w:lang w:val="ru-RU" w:eastAsia="ru-RU" w:bidi="ru-RU"/>
                            </w:rPr>
                            <w:t>239453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9.649999999999999pt;margin-top:797.25pt;width:44.399999999999999pt;height:9.8499999999999996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6"/>
                        <w:szCs w:val="26"/>
                      </w:rPr>
                    </w:pPr>
                    <w:r>
                      <w:rPr>
                        <w:rFonts w:ascii="Palatino Linotype" w:eastAsia="Palatino Linotype" w:hAnsi="Palatino Linotype" w:cs="Palatino Linotype"/>
                        <w:color w:val="000000"/>
                        <w:spacing w:val="0"/>
                        <w:w w:val="100"/>
                        <w:position w:val="0"/>
                        <w:sz w:val="26"/>
                        <w:szCs w:val="26"/>
                        <w:shd w:val="clear" w:color="auto" w:fill="auto"/>
                        <w:lang w:val="ru-RU" w:eastAsia="ru-RU" w:bidi="ru-RU"/>
                      </w:rPr>
                      <w:t>239453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3863975</wp:posOffset>
              </wp:positionH>
              <wp:positionV relativeFrom="page">
                <wp:posOffset>426085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4.25pt;margin-top:33.549999999999997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3842385</wp:posOffset>
              </wp:positionH>
              <wp:positionV relativeFrom="page">
                <wp:posOffset>414020</wp:posOffset>
              </wp:positionV>
              <wp:extent cx="67310" cy="103505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302.55000000000001pt;margin-top:32.600000000000001pt;width:5.2999999999999998pt;height:8.15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3842385</wp:posOffset>
              </wp:positionH>
              <wp:positionV relativeFrom="page">
                <wp:posOffset>414020</wp:posOffset>
              </wp:positionV>
              <wp:extent cx="67310" cy="10350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7310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4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302.55000000000001pt;margin-top:32.600000000000001pt;width:5.2999999999999998pt;height:8.1500000000000004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4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2)_"/>
    <w:basedOn w:val="DefaultParagraphFont"/>
    <w:link w:val="Style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E92CB"/>
      <w:u w:val="none"/>
    </w:rPr>
  </w:style>
  <w:style w:type="character" w:customStyle="1" w:styleId="CharStyle5">
    <w:name w:val="Основной текст (3)_"/>
    <w:basedOn w:val="DefaultParagraphFont"/>
    <w:link w:val="Style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6892"/>
      <w:sz w:val="15"/>
      <w:szCs w:val="15"/>
      <w:u w:val="none"/>
    </w:rPr>
  </w:style>
  <w:style w:type="character" w:customStyle="1" w:styleId="CharStyle8">
    <w:name w:val="Основной текст (5)_"/>
    <w:basedOn w:val="DefaultParagraphFont"/>
    <w:link w:val="Style7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character" w:customStyle="1" w:styleId="CharStyle12">
    <w:name w:val="Основной текст_"/>
    <w:basedOn w:val="DefaultParagraphFont"/>
    <w:link w:val="Style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5">
    <w:name w:val="Колонтитул (2)_"/>
    <w:basedOn w:val="DefaultParagraphFont"/>
    <w:link w:val="Style1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21">
    <w:name w:val="Подпись к картинке_"/>
    <w:basedOn w:val="DefaultParagraphFont"/>
    <w:link w:val="Style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23">
    <w:name w:val="Основной текст (4)_"/>
    <w:basedOn w:val="DefaultParagraphFont"/>
    <w:link w:val="Style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">
    <w:name w:val="Основной текст (2)"/>
    <w:basedOn w:val="Normal"/>
    <w:link w:val="CharStyle3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6E92CB"/>
      <w:u w:val="none"/>
    </w:rPr>
  </w:style>
  <w:style w:type="paragraph" w:customStyle="1" w:styleId="Style4">
    <w:name w:val="Основной текст (3)"/>
    <w:basedOn w:val="Normal"/>
    <w:link w:val="CharStyle5"/>
    <w:pPr>
      <w:widowControl w:val="0"/>
      <w:shd w:val="clear" w:color="auto" w:fill="auto"/>
      <w:spacing w:line="281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506892"/>
      <w:sz w:val="15"/>
      <w:szCs w:val="15"/>
      <w:u w:val="none"/>
    </w:rPr>
  </w:style>
  <w:style w:type="paragraph" w:customStyle="1" w:styleId="Style7">
    <w:name w:val="Основной текст (5)"/>
    <w:basedOn w:val="Normal"/>
    <w:link w:val="CharStyle8"/>
    <w:pPr>
      <w:widowControl w:val="0"/>
      <w:shd w:val="clear" w:color="auto" w:fill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  <w:lang w:val="1024"/>
    </w:rPr>
  </w:style>
  <w:style w:type="paragraph" w:customStyle="1" w:styleId="Style11">
    <w:name w:val="Основной текст"/>
    <w:basedOn w:val="Normal"/>
    <w:link w:val="CharStyle12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4">
    <w:name w:val="Колонтитул (2)"/>
    <w:basedOn w:val="Normal"/>
    <w:link w:val="CharStyle15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20">
    <w:name w:val="Подпись к картинке"/>
    <w:basedOn w:val="Normal"/>
    <w:link w:val="CharStyle21"/>
    <w:pPr>
      <w:widowControl w:val="0"/>
      <w:shd w:val="clear" w:color="auto" w:fill="auto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2">
    <w:name w:val="Основной текст (4)"/>
    <w:basedOn w:val="Normal"/>
    <w:link w:val="CharStyle2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2.jpeg"/><Relationship Id="rId16" Type="http://schemas.openxmlformats.org/officeDocument/2006/relationships/image" Target="media/image2.jpeg" TargetMode="External"/></Relationships>
</file>