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99" w:h="451" w:wrap="none" w:hAnchor="page" w:x="1765" w:y="227"/>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framePr w:w="2899" w:h="451" w:wrap="none" w:hAnchor="page" w:x="1765" w:y="227"/>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5"/>
        <w:keepNext w:val="0"/>
        <w:keepLines w:val="0"/>
        <w:framePr w:w="3984" w:h="2184" w:wrap="none" w:hAnchor="page" w:x="1217" w:y="831"/>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5"/>
        <w:keepNext w:val="0"/>
        <w:keepLines w:val="0"/>
        <w:framePr w:w="3984" w:h="2184" w:wrap="none" w:hAnchor="page" w:x="1217" w:y="831"/>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Федеральной антимонопольной службы</w:t>
        <w:br/>
        <w:t>по Еврейской автономной области</w:t>
      </w:r>
    </w:p>
    <w:p>
      <w:pPr>
        <w:pStyle w:val="Style2"/>
        <w:keepNext w:val="0"/>
        <w:keepLines w:val="0"/>
        <w:framePr w:w="3984" w:h="2184" w:wrap="none" w:hAnchor="page" w:x="1217" w:y="831"/>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ул. Постышева, 3, г. Биробиджан, ЕАО, 679014</w:t>
      </w:r>
    </w:p>
    <w:p>
      <w:pPr>
        <w:pStyle w:val="Style2"/>
        <w:keepNext w:val="0"/>
        <w:keepLines w:val="0"/>
        <w:framePr w:w="3984" w:h="2184" w:wrap="none" w:hAnchor="page" w:x="1217" w:y="831"/>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тел/фа кс (42622) 2-00-47, 2-11-47</w:t>
      </w:r>
    </w:p>
    <w:p>
      <w:pPr>
        <w:pStyle w:val="Style2"/>
        <w:keepNext w:val="0"/>
        <w:keepLines w:val="0"/>
        <w:framePr w:w="3984" w:h="2184" w:wrap="none" w:hAnchor="page" w:x="1217" w:y="831"/>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е-тай: 1о79@Газ.§оу.ги</w:t>
      </w:r>
    </w:p>
    <w:p>
      <w:pPr>
        <w:pStyle w:val="Style2"/>
        <w:keepNext w:val="0"/>
        <w:keepLines w:val="0"/>
        <w:framePr w:w="3984" w:h="2184" w:wrap="none" w:hAnchor="page" w:x="1217" w:y="831"/>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Н Нрз: //еао .Газ. §оу.ги</w:t>
      </w:r>
    </w:p>
    <w:p>
      <w:pPr>
        <w:pStyle w:val="Style7"/>
        <w:keepNext/>
        <w:keepLines/>
        <w:framePr w:w="3984" w:h="2184" w:wrap="none" w:hAnchor="page" w:x="1217" w:y="831"/>
        <w:widowControl w:val="0"/>
        <w:shd w:val="clear" w:color="auto" w:fill="auto"/>
        <w:tabs>
          <w:tab w:pos="1843" w:val="left"/>
        </w:tabs>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29.01.2025</w:t>
      </w:r>
      <w:r>
        <w:rPr>
          <w:color w:val="000000"/>
          <w:spacing w:val="0"/>
          <w:w w:val="100"/>
          <w:position w:val="0"/>
          <w:u w:val="none"/>
          <w:shd w:val="clear" w:color="auto" w:fill="auto"/>
          <w:lang w:val="ru-RU" w:eastAsia="ru-RU" w:bidi="ru-RU"/>
        </w:rPr>
        <w:tab/>
        <w:t>№</w:t>
      </w:r>
      <w:r>
        <w:rPr>
          <w:color w:val="000000"/>
          <w:spacing w:val="0"/>
          <w:w w:val="100"/>
          <w:position w:val="0"/>
          <w:shd w:val="clear" w:color="auto" w:fill="auto"/>
          <w:lang w:val="ru-RU" w:eastAsia="ru-RU" w:bidi="ru-RU"/>
        </w:rPr>
        <w:t xml:space="preserve"> ПБ/127/25</w:t>
      </w:r>
      <w:bookmarkEnd w:id="0"/>
    </w:p>
    <w:p>
      <w:pPr>
        <w:pStyle w:val="Style10"/>
        <w:keepNext w:val="0"/>
        <w:keepLines w:val="0"/>
        <w:framePr w:w="4694" w:h="902" w:wrap="none" w:hAnchor="page" w:x="6411" w:y="1"/>
        <w:widowControl w:val="0"/>
        <w:shd w:val="clear" w:color="auto" w:fill="auto"/>
        <w:bidi w:val="0"/>
        <w:spacing w:before="0" w:after="0" w:line="288" w:lineRule="auto"/>
        <w:ind w:left="0" w:right="0" w:firstLine="0"/>
        <w:jc w:val="both"/>
        <w:rPr>
          <w:sz w:val="22"/>
          <w:szCs w:val="22"/>
        </w:rPr>
      </w:pPr>
      <w:r>
        <w:rPr>
          <w:color w:val="000000"/>
          <w:spacing w:val="0"/>
          <w:w w:val="100"/>
          <w:position w:val="0"/>
          <w:sz w:val="22"/>
          <w:szCs w:val="22"/>
          <w:shd w:val="clear" w:color="auto" w:fill="auto"/>
          <w:lang w:val="ru-RU" w:eastAsia="ru-RU" w:bidi="ru-RU"/>
        </w:rPr>
        <w:t>Отправлено по электронной почте</w:t>
      </w:r>
    </w:p>
    <w:p>
      <w:pPr>
        <w:pStyle w:val="Style10"/>
        <w:keepNext w:val="0"/>
        <w:keepLines w:val="0"/>
        <w:framePr w:w="4694" w:h="902" w:wrap="none" w:hAnchor="page" w:x="6411" w:y="1"/>
        <w:widowControl w:val="0"/>
        <w:shd w:val="clear" w:color="auto" w:fill="auto"/>
        <w:bidi w:val="0"/>
        <w:spacing w:before="0" w:after="0" w:line="264" w:lineRule="auto"/>
        <w:ind w:left="0" w:right="0" w:firstLine="0"/>
        <w:jc w:val="left"/>
      </w:pPr>
      <w:r>
        <w:rPr>
          <w:color w:val="000000"/>
          <w:spacing w:val="0"/>
          <w:w w:val="100"/>
          <w:position w:val="0"/>
          <w:sz w:val="24"/>
          <w:szCs w:val="24"/>
          <w:shd w:val="clear" w:color="auto" w:fill="auto"/>
          <w:lang w:val="ru-RU" w:eastAsia="ru-RU" w:bidi="ru-RU"/>
        </w:rPr>
        <w:t>Главному врачу ОГБУЗ «Онкологический диспансер»</w:t>
      </w:r>
    </w:p>
    <w:p>
      <w:pPr>
        <w:pStyle w:val="Style5"/>
        <w:keepNext w:val="0"/>
        <w:keepLines w:val="0"/>
        <w:framePr w:w="4061" w:h="254" w:wrap="none" w:hAnchor="page" w:x="1141" w:y="3217"/>
        <w:widowControl w:val="0"/>
        <w:shd w:val="clear" w:color="auto" w:fill="auto"/>
        <w:bidi w:val="0"/>
        <w:spacing w:before="0" w:after="0" w:line="240" w:lineRule="auto"/>
        <w:ind w:left="0" w:right="0" w:firstLine="0"/>
        <w:jc w:val="left"/>
      </w:pPr>
      <w:r>
        <w:rPr>
          <w:b w:val="0"/>
          <w:bCs w:val="0"/>
          <w:spacing w:val="0"/>
          <w:w w:val="100"/>
          <w:position w:val="0"/>
          <w:shd w:val="clear" w:color="auto" w:fill="auto"/>
          <w:lang w:val="ru-RU" w:eastAsia="ru-RU" w:bidi="ru-RU"/>
        </w:rPr>
        <w:t xml:space="preserve">На №  от</w:t>
      </w:r>
    </w:p>
    <w:p>
      <w:pPr>
        <w:pStyle w:val="Style10"/>
        <w:keepNext w:val="0"/>
        <w:keepLines w:val="0"/>
        <w:framePr w:w="4829" w:h="898" w:wrap="none" w:hAnchor="page" w:x="6411" w:y="2857"/>
        <w:widowControl w:val="0"/>
        <w:shd w:val="clear" w:color="auto" w:fill="auto"/>
        <w:bidi w:val="0"/>
        <w:spacing w:before="0" w:after="0" w:line="288" w:lineRule="auto"/>
        <w:ind w:left="0" w:right="0" w:firstLine="0"/>
        <w:jc w:val="left"/>
        <w:rPr>
          <w:sz w:val="22"/>
          <w:szCs w:val="22"/>
        </w:rPr>
      </w:pPr>
      <w:r>
        <w:rPr>
          <w:color w:val="000000"/>
          <w:spacing w:val="0"/>
          <w:w w:val="100"/>
          <w:position w:val="0"/>
          <w:sz w:val="22"/>
          <w:szCs w:val="22"/>
          <w:shd w:val="clear" w:color="auto" w:fill="auto"/>
          <w:lang w:val="ru-RU" w:eastAsia="ru-RU" w:bidi="ru-RU"/>
        </w:rPr>
        <w:t>Отправлено по электронной почте</w:t>
      </w:r>
    </w:p>
    <w:p>
      <w:pPr>
        <w:pStyle w:val="Style10"/>
        <w:keepNext w:val="0"/>
        <w:keepLines w:val="0"/>
        <w:framePr w:w="4829" w:h="898" w:wrap="none" w:hAnchor="page" w:x="6411" w:y="2857"/>
        <w:widowControl w:val="0"/>
        <w:shd w:val="clear" w:color="auto" w:fill="auto"/>
        <w:bidi w:val="0"/>
        <w:spacing w:before="0" w:after="0" w:line="264" w:lineRule="auto"/>
        <w:ind w:left="0" w:right="0" w:firstLine="0"/>
        <w:jc w:val="left"/>
      </w:pPr>
      <w:r>
        <w:rPr>
          <w:color w:val="000000"/>
          <w:spacing w:val="0"/>
          <w:w w:val="100"/>
          <w:position w:val="0"/>
          <w:sz w:val="24"/>
          <w:szCs w:val="24"/>
          <w:shd w:val="clear" w:color="auto" w:fill="auto"/>
          <w:lang w:val="ru-RU" w:eastAsia="ru-RU" w:bidi="ru-RU"/>
        </w:rPr>
        <w:t>Директору ОГКУ «Центр государственных закупок ЕАО»</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13" w:line="1" w:lineRule="exact"/>
      </w:pPr>
    </w:p>
    <w:p>
      <w:pPr>
        <w:widowControl w:val="0"/>
        <w:spacing w:line="1" w:lineRule="exact"/>
        <w:sectPr>
          <w:footerReference w:type="default" r:id="rId5"/>
          <w:footerReference w:type="first" r:id="rId6"/>
          <w:footnotePr>
            <w:pos w:val="pageBottom"/>
            <w:numFmt w:val="decimal"/>
            <w:numRestart w:val="continuous"/>
          </w:footnotePr>
          <w:pgSz w:w="11900" w:h="16840"/>
          <w:pgMar w:top="1186" w:right="526" w:bottom="1216" w:left="1096" w:header="0" w:footer="3" w:gutter="0"/>
          <w:pgNumType w:start="1"/>
          <w:cols w:space="720"/>
          <w:noEndnote/>
          <w:titlePg/>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41" w:right="0" w:bottom="1180" w:left="0" w:header="0" w:footer="3" w:gutter="0"/>
          <w:cols w:space="720"/>
          <w:noEndnote/>
          <w:rtlGutter w:val="0"/>
          <w:docGrid w:linePitch="360"/>
        </w:sectPr>
      </w:pPr>
    </w:p>
    <w:p>
      <w:pPr>
        <w:pStyle w:val="Style10"/>
        <w:keepNext w:val="0"/>
        <w:keepLines w:val="0"/>
        <w:widowControl w:val="0"/>
        <w:shd w:val="clear" w:color="auto" w:fill="auto"/>
        <w:bidi w:val="0"/>
        <w:spacing w:before="0" w:after="2260" w:line="264" w:lineRule="auto"/>
        <w:ind w:left="5300" w:right="0" w:firstLine="20"/>
        <w:jc w:val="left"/>
      </w:pPr>
      <w:r>
        <w:rPr>
          <w:color w:val="000000"/>
          <w:spacing w:val="0"/>
          <w:w w:val="100"/>
          <w:position w:val="0"/>
          <w:sz w:val="22"/>
          <w:szCs w:val="22"/>
          <w:shd w:val="clear" w:color="auto" w:fill="auto"/>
          <w:lang w:val="ru-RU" w:eastAsia="ru-RU" w:bidi="ru-RU"/>
        </w:rPr>
        <w:t xml:space="preserve">Отправлено по электронной почте </w:t>
      </w:r>
      <w:r>
        <w:rPr>
          <w:color w:val="000000"/>
          <w:spacing w:val="0"/>
          <w:w w:val="100"/>
          <w:position w:val="0"/>
          <w:sz w:val="24"/>
          <w:szCs w:val="24"/>
          <w:shd w:val="clear" w:color="auto" w:fill="auto"/>
          <w:lang w:val="ru-RU" w:eastAsia="ru-RU" w:bidi="ru-RU"/>
        </w:rPr>
        <w:t>Генеральному директору ООО «АлькорФарм»</w:t>
      </w:r>
    </w:p>
    <w:p>
      <w:pPr>
        <w:pStyle w:val="Style10"/>
        <w:keepNext w:val="0"/>
        <w:keepLines w:val="0"/>
        <w:widowControl w:val="0"/>
        <w:shd w:val="clear" w:color="auto" w:fill="auto"/>
        <w:bidi w:val="0"/>
        <w:spacing w:before="0" w:after="220" w:line="271" w:lineRule="auto"/>
        <w:ind w:left="5300" w:right="0" w:firstLine="20"/>
        <w:jc w:val="left"/>
      </w:pPr>
      <w:r>
        <w:rPr>
          <w:color w:val="000000"/>
          <w:spacing w:val="0"/>
          <w:w w:val="100"/>
          <w:position w:val="0"/>
          <w:sz w:val="22"/>
          <w:szCs w:val="22"/>
          <w:shd w:val="clear" w:color="auto" w:fill="auto"/>
          <w:lang w:val="ru-RU" w:eastAsia="ru-RU" w:bidi="ru-RU"/>
        </w:rPr>
        <w:t xml:space="preserve">Отправлено по электронной почте </w:t>
      </w:r>
      <w:r>
        <w:rPr>
          <w:color w:val="000000"/>
          <w:spacing w:val="0"/>
          <w:w w:val="100"/>
          <w:position w:val="0"/>
          <w:sz w:val="24"/>
          <w:szCs w:val="24"/>
          <w:shd w:val="clear" w:color="auto" w:fill="auto"/>
          <w:lang w:val="ru-RU" w:eastAsia="ru-RU" w:bidi="ru-RU"/>
        </w:rPr>
        <w:t>ООО «РТС-тендер»</w:t>
      </w:r>
    </w:p>
    <w:p>
      <w:pPr>
        <w:pStyle w:val="Style10"/>
        <w:keepNext w:val="0"/>
        <w:keepLines w:val="0"/>
        <w:widowControl w:val="0"/>
        <w:shd w:val="clear" w:color="auto" w:fill="auto"/>
        <w:bidi w:val="0"/>
        <w:spacing w:before="0" w:after="620" w:line="283" w:lineRule="auto"/>
        <w:ind w:left="5300" w:right="0" w:firstLine="20"/>
        <w:jc w:val="left"/>
        <w:rPr>
          <w:sz w:val="22"/>
          <w:szCs w:val="22"/>
        </w:rPr>
      </w:pPr>
      <w:r>
        <w:rPr>
          <w:color w:val="000000"/>
          <w:spacing w:val="0"/>
          <w:w w:val="100"/>
          <w:position w:val="0"/>
          <w:sz w:val="22"/>
          <w:szCs w:val="22"/>
          <w:shd w:val="clear" w:color="auto" w:fill="auto"/>
          <w:lang w:val="ru-RU" w:eastAsia="ru-RU" w:bidi="ru-RU"/>
        </w:rPr>
        <w:t>е-шай: ко@Й5-1еп(1ег.ги</w:t>
      </w:r>
    </w:p>
    <w:p>
      <w:pPr>
        <w:pStyle w:val="Style10"/>
        <w:keepNext w:val="0"/>
        <w:keepLines w:val="0"/>
        <w:widowControl w:val="0"/>
        <w:shd w:val="clear" w:color="auto" w:fill="auto"/>
        <w:bidi w:val="0"/>
        <w:spacing w:before="0" w:after="0"/>
        <w:ind w:left="0" w:right="0" w:firstLine="0"/>
        <w:jc w:val="center"/>
      </w:pPr>
      <w:r>
        <w:rPr>
          <w:b/>
          <w:bCs/>
          <w:color w:val="000000"/>
          <w:spacing w:val="0"/>
          <w:w w:val="100"/>
          <w:position w:val="0"/>
          <w:sz w:val="24"/>
          <w:szCs w:val="24"/>
          <w:shd w:val="clear" w:color="auto" w:fill="auto"/>
          <w:lang w:val="ru-RU" w:eastAsia="ru-RU" w:bidi="ru-RU"/>
        </w:rPr>
        <w:t>РЕШЕНИЕ</w:t>
      </w:r>
    </w:p>
    <w:p>
      <w:pPr>
        <w:pStyle w:val="Style10"/>
        <w:keepNext w:val="0"/>
        <w:keepLines w:val="0"/>
        <w:widowControl w:val="0"/>
        <w:shd w:val="clear" w:color="auto" w:fill="auto"/>
        <w:bidi w:val="0"/>
        <w:spacing w:before="0" w:after="300"/>
        <w:ind w:left="0" w:right="0" w:firstLine="0"/>
        <w:jc w:val="center"/>
      </w:pPr>
      <w:r>
        <w:rPr>
          <w:b/>
          <w:bCs/>
          <w:color w:val="000000"/>
          <w:spacing w:val="0"/>
          <w:w w:val="100"/>
          <w:position w:val="0"/>
          <w:sz w:val="24"/>
          <w:szCs w:val="24"/>
          <w:shd w:val="clear" w:color="auto" w:fill="auto"/>
          <w:lang w:val="ru-RU" w:eastAsia="ru-RU" w:bidi="ru-RU"/>
        </w:rPr>
        <w:t>по делу № 079/06/106-02/2025</w:t>
        <w:br/>
      </w:r>
      <w:r>
        <w:rPr>
          <w:color w:val="000000"/>
          <w:spacing w:val="0"/>
          <w:w w:val="100"/>
          <w:position w:val="0"/>
          <w:sz w:val="24"/>
          <w:szCs w:val="24"/>
          <w:shd w:val="clear" w:color="auto" w:fill="auto"/>
          <w:lang w:val="ru-RU" w:eastAsia="ru-RU" w:bidi="ru-RU"/>
        </w:rPr>
        <w:t>о нарушении законодательства о закупках</w:t>
      </w:r>
    </w:p>
    <w:p>
      <w:pPr>
        <w:pStyle w:val="Style10"/>
        <w:keepNext w:val="0"/>
        <w:keepLines w:val="0"/>
        <w:widowControl w:val="0"/>
        <w:shd w:val="clear" w:color="auto" w:fill="auto"/>
        <w:bidi w:val="0"/>
        <w:spacing w:before="0" w:after="300"/>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6142990</wp:posOffset>
                </wp:positionH>
                <wp:positionV relativeFrom="paragraph">
                  <wp:posOffset>12700</wp:posOffset>
                </wp:positionV>
                <wp:extent cx="1051560" cy="198120"/>
                <wp:wrapSquare wrapText="left"/>
                <wp:docPr id="5" name="Shape 5"/>
                <a:graphic xmlns:a="http://schemas.openxmlformats.org/drawingml/2006/main">
                  <a:graphicData uri="http://schemas.microsoft.com/office/word/2010/wordprocessingShape">
                    <wps:wsp>
                      <wps:cNvSpPr txBox="1"/>
                      <wps:spPr>
                        <a:xfrm>
                          <a:ext cx="1051560" cy="19812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Биробиджан</w:t>
                            </w:r>
                          </w:p>
                        </w:txbxContent>
                      </wps:txbx>
                      <wps:bodyPr wrap="none" lIns="0" tIns="0" rIns="0" bIns="0">
                        <a:noAutoFit/>
                      </wps:bodyPr>
                    </wps:wsp>
                  </a:graphicData>
                </a:graphic>
              </wp:anchor>
            </w:drawing>
          </mc:Choice>
          <mc:Fallback>
            <w:pict>
              <v:shape id="_x0000_s1031" type="#_x0000_t202" style="position:absolute;margin-left:483.69999999999999pt;margin-top:1.pt;width:82.799999999999997pt;height:15.6pt;z-index:-125829375;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Биробиджан</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Резолютивная часть решения объявлена «24» января 2025 года В полном объеме решение изготовлено «29» января 2025 года</w:t>
      </w:r>
    </w:p>
    <w:p>
      <w:pPr>
        <w:pStyle w:val="Style10"/>
        <w:keepNext w:val="0"/>
        <w:keepLines w:val="0"/>
        <w:widowControl w:val="0"/>
        <w:shd w:val="clear" w:color="auto" w:fill="auto"/>
        <w:bidi w:val="0"/>
        <w:spacing w:before="0" w:after="460"/>
        <w:ind w:left="0" w:right="0" w:firstLine="720"/>
        <w:jc w:val="left"/>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Еврейской автономной области по контролю в сфере закупок (далее - Комиссия) в составе:</w:t>
      </w:r>
    </w:p>
    <w:p>
      <w:pPr>
        <w:pStyle w:val="Style18"/>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111111111111111111111111</w:t>
      </w:r>
      <w:bookmarkEnd w:id="2"/>
    </w:p>
    <w:p>
      <w:pPr>
        <w:pStyle w:val="Style10"/>
        <w:keepNext w:val="0"/>
        <w:keepLines w:val="0"/>
        <w:widowControl w:val="0"/>
        <w:shd w:val="clear" w:color="auto" w:fill="auto"/>
        <w:bidi w:val="0"/>
        <w:spacing w:before="0" w:after="60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10"/>
        <w:keepNext w:val="0"/>
        <w:keepLines w:val="0"/>
        <w:widowControl w:val="0"/>
        <w:shd w:val="clear" w:color="auto" w:fill="auto"/>
        <w:bidi w:val="0"/>
        <w:spacing w:before="0" w:after="150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after="0"/>
        <w:ind w:left="0" w:right="0" w:firstLine="720"/>
        <w:jc w:val="left"/>
      </w:pPr>
      <w:r>
        <w:rPr>
          <w:color w:val="000000"/>
          <w:spacing w:val="0"/>
          <w:w w:val="100"/>
          <w:position w:val="0"/>
          <w:sz w:val="24"/>
          <w:szCs w:val="24"/>
          <w:shd w:val="clear" w:color="auto" w:fill="auto"/>
          <w:lang w:val="ru-RU" w:eastAsia="ru-RU" w:bidi="ru-RU"/>
        </w:rPr>
        <w:t>при участии:</w:t>
      </w:r>
    </w:p>
    <w:p>
      <w:pPr>
        <w:pStyle w:val="Style10"/>
        <w:keepNext w:val="0"/>
        <w:keepLines w:val="0"/>
        <w:widowControl w:val="0"/>
        <w:numPr>
          <w:ilvl w:val="0"/>
          <w:numId w:val="1"/>
        </w:numPr>
        <w:shd w:val="clear" w:color="auto" w:fill="auto"/>
        <w:tabs>
          <w:tab w:pos="960" w:val="left"/>
          <w:tab w:pos="9235"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посредством системы видео-конференц-связи представителей Заявителя Общества с ограниченной ответственностью «АлькорФарм»: генерального директора Общества с ограниченной ответственностью «АлькорФарм»</w:t>
        <w:tab/>
        <w:t>; ,</w:t>
      </w:r>
    </w:p>
    <w:p>
      <w:pPr>
        <w:pStyle w:val="Style10"/>
        <w:keepNext w:val="0"/>
        <w:keepLines w:val="0"/>
        <w:widowControl w:val="0"/>
        <w:shd w:val="clear" w:color="auto" w:fill="auto"/>
        <w:bidi w:val="0"/>
        <w:spacing w:before="0" w:after="0"/>
        <w:ind w:left="0" w:right="0" w:firstLine="580"/>
        <w:jc w:val="both"/>
      </w:pPr>
      <w:r>
        <w:rPr>
          <w:color w:val="000000"/>
          <w:spacing w:val="0"/>
          <w:w w:val="100"/>
          <w:position w:val="0"/>
          <w:sz w:val="24"/>
          <w:szCs w:val="24"/>
          <w:shd w:val="clear" w:color="auto" w:fill="auto"/>
          <w:lang w:val="ru-RU" w:eastAsia="ru-RU" w:bidi="ru-RU"/>
        </w:rPr>
        <w:t>(копия доверенности б/н от 27.11.2024);</w:t>
      </w:r>
    </w:p>
    <w:p>
      <w:pPr>
        <w:pStyle w:val="Style10"/>
        <w:keepNext w:val="0"/>
        <w:keepLines w:val="0"/>
        <w:widowControl w:val="0"/>
        <w:numPr>
          <w:ilvl w:val="0"/>
          <w:numId w:val="1"/>
        </w:numPr>
        <w:shd w:val="clear" w:color="auto" w:fill="auto"/>
        <w:tabs>
          <w:tab w:pos="960" w:val="left"/>
          <w:tab w:pos="9461"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представителей уполномоченного учреждения - Областного государственного казенного учреждения «Центр государственных закупок Еврейской автономной области» (копия доверенности от 23.01.2025 № 106/25);</w:t>
        <w:tab/>
        <w:t>(копия</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z w:val="24"/>
          <w:szCs w:val="24"/>
          <w:shd w:val="clear" w:color="auto" w:fill="auto"/>
          <w:lang w:val="ru-RU" w:eastAsia="ru-RU" w:bidi="ru-RU"/>
        </w:rPr>
        <w:t>доверенности от 22.01.2025 № 101/25),</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рассмотрев жалобу Общества с ограниченной ответственностью «АлькорФарм» (123007, г. Москва, вн.тер.г, муниципальный округ Хорошевский, ул. Магистральная, д. 12, пом. VIII, ком. 24, ИНН: 7714474016) на действия Комиссии по осуществлению закупок государственного заказчика - Областного государственного бюджетного учреждения здравоохранения «Онкологический диспансер» (679000, Еврейская автономная область, г. Биробиджан, ул. Пионерская, д 36, ИНН: 7900001722), уполномоченного учреждения - Областного государственного казенного учреждения «Центр государственных закупок Еврейской автономной области» (679000, Еврейская автономная область, г. Биробиджан, ул. Пионерская, д 41 «а», ИНН: 7901009682) о нарушении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допущенных при осуществлении закупки для государственных нужд, проведения электронного аукциона, объектом которого является: «Поставка лекарственного препарата «Осимертиниб» для медицинского применения» (извещение от 24.12.2024 № 0878500000224001883), в соответствии с ч. 15 ст. 99,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260"/>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В Управление Федеральной антимонопольной службы по Еврейской автономной области поступила жалоба Общества с ограниченной ответственностью «АлькорФарм»(далее - ООО «АлькорФарм», Заявитель) от 20.01.2025 вход. № 106/25 на действия Комиссии по осуществлению закупок государственного заказчика - Областного государственного бюджетного учреждения здравоохранения «Онкологический диспансер» (далее - Заказчик), уполномоченного учреждения - Областного государственного казенного учреждения «Центр государственных закупок Еврейской автономной области» (далее - Комиссия по осуществлению закупок) о нарушении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допущенных при осуществлении закупки для государственных нужд путем </w:t>
      </w:r>
      <w:r>
        <w:rPr>
          <w:color w:val="000000"/>
          <w:spacing w:val="0"/>
          <w:w w:val="100"/>
          <w:position w:val="0"/>
          <w:sz w:val="24"/>
          <w:szCs w:val="24"/>
          <w:shd w:val="clear" w:color="auto" w:fill="auto"/>
          <w:lang w:val="ru-RU" w:eastAsia="ru-RU" w:bidi="ru-RU"/>
        </w:rPr>
        <w:t>проведения электронного аукциона, объектом которого является: «Поставка лекарственного препарата «Осимертиниб» для медицинского применения» (извещение от 24.12.2024 № 0878500000224001883).</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Жалоба подана в соответствии с требованиями ст. 105 Закона о контрактной системе.</w:t>
      </w:r>
    </w:p>
    <w:p>
      <w:pPr>
        <w:pStyle w:val="Style10"/>
        <w:keepNext w:val="0"/>
        <w:keepLines w:val="0"/>
        <w:widowControl w:val="0"/>
        <w:shd w:val="clear" w:color="auto" w:fill="auto"/>
        <w:tabs>
          <w:tab w:pos="6941" w:val="left"/>
          <w:tab w:pos="7541"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Заявитель полагает, что Комиссией по осуществлению закупок неправомерно принято решение об отклонении заявки подателя жалобы - ООО «АлькорФарм» (идентификационный номер заявки 118030659) по электронному аукциону № 0878500000224001883 (протокол подведения определения поставщика (подрядчика, исполнителя) отражены в протоколе № ИЭА1 от 15.01.2025) по основанию того, что участником закупки ООО «АлькорФарм» предложен к поставке лекарственный препарат «Осимертиниб» (МНН Осимертиниб), который введен в гражданский оборот по регистрационному удостоверению (далее - РУ) от 31.05.2023 № ЛП-№(002439)-(РГ- КХ1), держателем которого является ООО «АксельФарм» (Россия), производителем - ООО «ОнкоТаргет» (Россия), с незаконным использованием изобретения по евразийскому патенту № 024421, правообладателем которого является компания АстраЗенека АБ (Швеция), без согласия правообладателя на такое использование, что нарушает действующее законодательство Российской Федерации, и, как следствие, положения Закона о контрактной системе и извещения об осуществлении закупки. Заявитель считает, что у Комиссии по осуществлению закупок не имелось законных оснований для отклонения вышеуказанной заявки, так как: на момент рассмотрения заявок участников по данной закупке отсутствует подтвержденный в судебном порядке факт нарушения исключительных прав (отсутствует вступившее в силу решение суда); лекарственный препарат ТН Осимертиниб зарегистрирован на территории РФ в установленном законе порядке, имеет действующее РУ от 31.05.2023</w:t>
        <w:tab/>
        <w:t>№</w:t>
        <w:tab/>
        <w:t>ЛП-№(002439)-(РГ-КП)</w:t>
      </w:r>
    </w:p>
    <w:p>
      <w:pPr>
        <w:pStyle w:val="Style10"/>
        <w:keepNext w:val="0"/>
        <w:keepLines w:val="0"/>
        <w:widowControl w:val="0"/>
        <w:shd w:val="clear" w:color="auto" w:fill="auto"/>
        <w:bidi w:val="0"/>
        <w:spacing w:before="0" w:after="0"/>
        <w:ind w:left="0" w:right="0" w:firstLine="0"/>
        <w:jc w:val="both"/>
      </w:pPr>
      <w:r>
        <w:rPr>
          <w:color w:val="000000"/>
          <w:spacing w:val="0"/>
          <w:w w:val="100"/>
          <w:position w:val="0"/>
          <w:sz w:val="24"/>
          <w:szCs w:val="24"/>
          <w:shd w:val="clear" w:color="auto" w:fill="auto"/>
          <w:lang w:val="ru-RU" w:eastAsia="ru-RU" w:bidi="ru-RU"/>
        </w:rPr>
        <w:t>и зарегистрированную отпускную цену, не изъят из гражданского оборота, не признан контрафактным, его обращение на территории РФ не приостановлено; Комиссия по осуществлению закупок не наделена полномочиями по установлению факта нарушения исключительных прав третьих лиц (патентообладателей) на результаты интеллектуальной деятельности, связанных с поставкой и использованием препарата ТН Осимертиниб.</w:t>
      </w:r>
    </w:p>
    <w:p>
      <w:pPr>
        <w:pStyle w:val="Style10"/>
        <w:keepNext w:val="0"/>
        <w:keepLines w:val="0"/>
        <w:widowControl w:val="0"/>
        <w:shd w:val="clear" w:color="auto" w:fill="auto"/>
        <w:bidi w:val="0"/>
        <w:spacing w:before="0" w:after="300"/>
        <w:ind w:left="0" w:right="0" w:firstLine="720"/>
        <w:jc w:val="both"/>
      </w:pPr>
      <w:r>
        <w:rPr>
          <w:color w:val="000000"/>
          <w:spacing w:val="0"/>
          <w:w w:val="100"/>
          <w:position w:val="0"/>
          <w:sz w:val="24"/>
          <w:szCs w:val="24"/>
          <w:shd w:val="clear" w:color="auto" w:fill="auto"/>
          <w:lang w:val="ru-RU" w:eastAsia="ru-RU" w:bidi="ru-RU"/>
        </w:rPr>
        <w:t>Заявитель просит Комиссию признать жалобу обоснованной и выдать Комиссии по осуществлению закупок предписание об устранении нарушений требований Закона о контрактной системе.</w:t>
      </w:r>
    </w:p>
    <w:p>
      <w:pPr>
        <w:pStyle w:val="Style10"/>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 xml:space="preserve">В адрес Еврейского УФАС России от Уполномоченного учреждения поступило возражение на жалобу Заявителя от 22.01.2025 исх. № 99/25 (вход. № 145/25 от 22.01.2025), согласно которому доводы Заявителя считают необоснованными, так как согласно решению комиссии Управления Федеральной антимонопольной службы России от 20.11.2024 по делу № 08/01/14.5-76/2024 было установлено, что ООО «АксельФарм» ввело в гражданский оборот лекарственный препарат «Осимертиниб» (МНН Осимертиниб) с незаконным использованием изобретения и его фармацевтические приемлемые соли в качестве модуляторов ЕСгЕК, полезных для лечения рака по Евразийскому патенту № 024421, без согласия патентообладателя компании АстраЗенека АБ (Швеция). Отклонение заявки участника закупки возможно только в случае наличия в распоряжении Комиссии по осуществлению закупки неопровержимых доказательств недостоверности, в представленной участником закупки информации. Комиссией по осуществлению закупки было установлено, что участник с идентификационным номером заявки 118030659 предложил к поставке лекарственный препарат «Осимертиниб» (МНН Осимертиниб) (РУ № ЛП-№(002439)-(РГ-КЕГ)) с незаконным использованием изобретения по евразийскому </w:t>
      </w:r>
      <w:r>
        <w:rPr>
          <w:color w:val="000000"/>
          <w:spacing w:val="0"/>
          <w:w w:val="100"/>
          <w:position w:val="0"/>
          <w:sz w:val="24"/>
          <w:szCs w:val="24"/>
          <w:shd w:val="clear" w:color="auto" w:fill="auto"/>
          <w:lang w:val="ru-RU" w:eastAsia="ru-RU" w:bidi="ru-RU"/>
        </w:rPr>
        <w:t>патенту № 024421, правообладателем которого является компания АстраЗенека АБ (Швеция), без согласия патентообладателя на такое использование. Следовательно, в действиях комиссии по осуществлению закупки отсутствуют нарушения Закона о контрактной системе. Просят Комиссию признать жалобу Заявителя необоснованной.</w:t>
      </w:r>
    </w:p>
    <w:p>
      <w:pPr>
        <w:pStyle w:val="Style10"/>
        <w:keepNext w:val="0"/>
        <w:keepLines w:val="0"/>
        <w:widowControl w:val="0"/>
        <w:shd w:val="clear" w:color="auto" w:fill="auto"/>
        <w:bidi w:val="0"/>
        <w:spacing w:before="0" w:after="0" w:line="264" w:lineRule="auto"/>
        <w:ind w:left="0" w:right="0" w:firstLine="720"/>
        <w:jc w:val="both"/>
      </w:pPr>
      <w:r>
        <w:rPr>
          <w:color w:val="000000"/>
          <w:spacing w:val="0"/>
          <w:w w:val="100"/>
          <w:position w:val="0"/>
          <w:sz w:val="24"/>
          <w:szCs w:val="24"/>
          <w:shd w:val="clear" w:color="auto" w:fill="auto"/>
          <w:lang w:val="ru-RU" w:eastAsia="ru-RU" w:bidi="ru-RU"/>
        </w:rPr>
        <w:t>На заседании Комиссии:</w:t>
      </w:r>
    </w:p>
    <w:p>
      <w:pPr>
        <w:pStyle w:val="Style10"/>
        <w:keepNext w:val="0"/>
        <w:keepLines w:val="0"/>
        <w:widowControl w:val="0"/>
        <w:numPr>
          <w:ilvl w:val="0"/>
          <w:numId w:val="3"/>
        </w:numPr>
        <w:shd w:val="clear" w:color="auto" w:fill="auto"/>
        <w:tabs>
          <w:tab w:pos="948" w:val="left"/>
        </w:tabs>
        <w:bidi w:val="0"/>
        <w:spacing w:before="0" w:after="0" w:line="264" w:lineRule="auto"/>
        <w:ind w:left="0" w:right="0" w:firstLine="720"/>
        <w:jc w:val="both"/>
      </w:pPr>
      <w:r>
        <w:rPr>
          <w:color w:val="000000"/>
          <w:spacing w:val="0"/>
          <w:w w:val="100"/>
          <w:position w:val="0"/>
          <w:sz w:val="24"/>
          <w:szCs w:val="24"/>
          <w:shd w:val="clear" w:color="auto" w:fill="auto"/>
          <w:lang w:val="ru-RU" w:eastAsia="ru-RU" w:bidi="ru-RU"/>
        </w:rPr>
        <w:t>представители Заявителя доводы, изложенные в жалобе, поддержали в полном объеме;</w:t>
      </w:r>
    </w:p>
    <w:p>
      <w:pPr>
        <w:pStyle w:val="Style10"/>
        <w:keepNext w:val="0"/>
        <w:keepLines w:val="0"/>
        <w:widowControl w:val="0"/>
        <w:numPr>
          <w:ilvl w:val="0"/>
          <w:numId w:val="3"/>
        </w:numPr>
        <w:shd w:val="clear" w:color="auto" w:fill="auto"/>
        <w:tabs>
          <w:tab w:pos="948" w:val="left"/>
        </w:tabs>
        <w:bidi w:val="0"/>
        <w:spacing w:before="0" w:after="280" w:line="264" w:lineRule="auto"/>
        <w:ind w:left="0" w:right="0" w:firstLine="720"/>
        <w:jc w:val="both"/>
      </w:pPr>
      <w:r>
        <w:rPr>
          <w:color w:val="000000"/>
          <w:spacing w:val="0"/>
          <w:w w:val="100"/>
          <w:position w:val="0"/>
          <w:sz w:val="24"/>
          <w:szCs w:val="24"/>
          <w:shd w:val="clear" w:color="auto" w:fill="auto"/>
          <w:lang w:val="ru-RU" w:eastAsia="ru-RU" w:bidi="ru-RU"/>
        </w:rPr>
        <w:t>представители Уполномоченного учреждения доводы, изложенные в возражениях на жалобу, поддержали в полном объеме.</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Изучив представленные документы, рассмотрев доводы жалобы, возражения на жалобу, заслушав представителей Заявителя и Уполномоченного учреждения, руководствуясь статьями 99, 106 Закона о контрактной системе, Комиссия Еврейского УФАС России пришла к следующим выводам.</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нормой, закрепленной в ст. 1 Закона о контрактной системе указанный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6 Закона о контрактной системе).</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Статьей 8 Закона о контрактной системе установлены следующие принципы обеспечения конкуренции:</w:t>
      </w:r>
    </w:p>
    <w:p>
      <w:pPr>
        <w:pStyle w:val="Style10"/>
        <w:keepNext w:val="0"/>
        <w:keepLines w:val="0"/>
        <w:widowControl w:val="0"/>
        <w:numPr>
          <w:ilvl w:val="0"/>
          <w:numId w:val="5"/>
        </w:numPr>
        <w:shd w:val="clear" w:color="auto" w:fill="auto"/>
        <w:tabs>
          <w:tab w:pos="101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0"/>
        <w:keepNext w:val="0"/>
        <w:keepLines w:val="0"/>
        <w:widowControl w:val="0"/>
        <w:numPr>
          <w:ilvl w:val="0"/>
          <w:numId w:val="5"/>
        </w:numPr>
        <w:shd w:val="clear" w:color="auto" w:fill="auto"/>
        <w:tabs>
          <w:tab w:pos="101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Таким образом, при осуществлении закупок Заказчик и Уполномоченное учреждение обязаны соблюдать требования Закона о контрактной системе.</w:t>
      </w:r>
    </w:p>
    <w:p>
      <w:pPr>
        <w:pStyle w:val="Style10"/>
        <w:keepNext w:val="0"/>
        <w:keepLines w:val="0"/>
        <w:widowControl w:val="0"/>
        <w:numPr>
          <w:ilvl w:val="0"/>
          <w:numId w:val="7"/>
        </w:numPr>
        <w:shd w:val="clear" w:color="auto" w:fill="auto"/>
        <w:tabs>
          <w:tab w:pos="1100" w:val="left"/>
        </w:tabs>
        <w:bidi w:val="0"/>
        <w:spacing w:before="0" w:after="280" w:line="262" w:lineRule="auto"/>
        <w:ind w:left="0" w:right="0" w:firstLine="720"/>
        <w:jc w:val="both"/>
      </w:pPr>
      <w:r>
        <w:rPr>
          <w:color w:val="000000"/>
          <w:spacing w:val="0"/>
          <w:w w:val="100"/>
          <w:position w:val="0"/>
          <w:sz w:val="24"/>
          <w:szCs w:val="24"/>
          <w:shd w:val="clear" w:color="auto" w:fill="auto"/>
          <w:lang w:val="ru-RU" w:eastAsia="ru-RU" w:bidi="ru-RU"/>
        </w:rPr>
        <w:t>декабря 2024 года в ЕИС по адресу: Ыф:/Лу\у\у.2акирк1.§оу.ги и на электронной площадке РТС-тендер по адресу: Н11р://\у\у\у.г18-1епс1ег.ги Уполномоченным учреждением размещено извещение о проведении электронного аукциона в электронной форме</w:t>
      </w:r>
    </w:p>
    <w:p>
      <w:pPr>
        <w:pStyle w:val="Style10"/>
        <w:keepNext w:val="0"/>
        <w:keepLines w:val="0"/>
        <w:widowControl w:val="0"/>
        <w:shd w:val="clear" w:color="auto" w:fill="auto"/>
        <w:bidi w:val="0"/>
        <w:spacing w:before="0" w:after="0" w:line="262" w:lineRule="auto"/>
        <w:ind w:left="0" w:right="0" w:firstLine="0"/>
        <w:jc w:val="both"/>
      </w:pPr>
      <w:r>
        <w:rPr>
          <w:color w:val="000000"/>
          <w:spacing w:val="0"/>
          <w:w w:val="100"/>
          <w:position w:val="0"/>
          <w:sz w:val="24"/>
          <w:szCs w:val="24"/>
          <w:shd w:val="clear" w:color="auto" w:fill="auto"/>
          <w:lang w:val="ru-RU" w:eastAsia="ru-RU" w:bidi="ru-RU"/>
        </w:rPr>
        <w:t>№ 0878500000224001883 и электронные документы.</w:t>
      </w:r>
    </w:p>
    <w:p>
      <w:pPr>
        <w:pStyle w:val="Style10"/>
        <w:keepNext w:val="0"/>
        <w:keepLines w:val="0"/>
        <w:widowControl w:val="0"/>
        <w:shd w:val="clear" w:color="auto" w:fill="auto"/>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В извещении о проведении электронного аукциона № 0878500000224001883 указана следующая информация, в том числе:</w:t>
      </w:r>
    </w:p>
    <w:p>
      <w:pPr>
        <w:pStyle w:val="Style10"/>
        <w:keepNext w:val="0"/>
        <w:keepLines w:val="0"/>
        <w:widowControl w:val="0"/>
        <w:shd w:val="clear" w:color="auto" w:fill="auto"/>
        <w:bidi w:val="0"/>
        <w:spacing w:before="0" w:after="0" w:line="262" w:lineRule="auto"/>
        <w:ind w:left="0" w:right="0" w:firstLine="1160"/>
        <w:jc w:val="both"/>
      </w:pPr>
      <w:r>
        <w:rPr>
          <w:color w:val="000000"/>
          <w:spacing w:val="0"/>
          <w:w w:val="100"/>
          <w:position w:val="0"/>
          <w:sz w:val="24"/>
          <w:szCs w:val="24"/>
          <w:shd w:val="clear" w:color="auto" w:fill="auto"/>
          <w:lang w:val="ru-RU" w:eastAsia="ru-RU" w:bidi="ru-RU"/>
        </w:rPr>
        <w:t>наименование объекта закупки: поставка лекарственного препарата «Осимертиниб» для медицинского применения ;</w:t>
      </w:r>
    </w:p>
    <w:p>
      <w:pPr>
        <w:pStyle w:val="Style10"/>
        <w:keepNext w:val="0"/>
        <w:keepLines w:val="0"/>
        <w:widowControl w:val="0"/>
        <w:numPr>
          <w:ilvl w:val="0"/>
          <w:numId w:val="9"/>
        </w:numPr>
        <w:shd w:val="clear" w:color="auto" w:fill="auto"/>
        <w:tabs>
          <w:tab w:pos="927" w:val="left"/>
        </w:tabs>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3 728 984, 40 руб.;</w:t>
      </w:r>
    </w:p>
    <w:p>
      <w:pPr>
        <w:pStyle w:val="Style10"/>
        <w:keepNext w:val="0"/>
        <w:keepLines w:val="0"/>
        <w:widowControl w:val="0"/>
        <w:numPr>
          <w:ilvl w:val="0"/>
          <w:numId w:val="9"/>
        </w:numPr>
        <w:shd w:val="clear" w:color="auto" w:fill="auto"/>
        <w:tabs>
          <w:tab w:pos="927" w:val="left"/>
        </w:tabs>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ИКЗ: 242790000242079010100101260012120244;</w:t>
      </w:r>
    </w:p>
    <w:p>
      <w:pPr>
        <w:pStyle w:val="Style10"/>
        <w:keepNext w:val="0"/>
        <w:keepLines w:val="0"/>
        <w:widowControl w:val="0"/>
        <w:numPr>
          <w:ilvl w:val="0"/>
          <w:numId w:val="9"/>
        </w:numPr>
        <w:shd w:val="clear" w:color="auto" w:fill="auto"/>
        <w:tabs>
          <w:tab w:pos="927" w:val="left"/>
        </w:tabs>
        <w:bidi w:val="0"/>
        <w:spacing w:before="0" w:after="0" w:line="262" w:lineRule="auto"/>
        <w:ind w:left="0" w:right="0" w:firstLine="720"/>
        <w:jc w:val="both"/>
      </w:pPr>
      <w:r>
        <w:rPr>
          <w:color w:val="000000"/>
          <w:spacing w:val="0"/>
          <w:w w:val="100"/>
          <w:position w:val="0"/>
          <w:sz w:val="24"/>
          <w:szCs w:val="24"/>
          <w:shd w:val="clear" w:color="auto" w:fill="auto"/>
          <w:lang w:val="ru-RU" w:eastAsia="ru-RU" w:bidi="ru-RU"/>
        </w:rPr>
        <w:t>дата окончания подачи заявок: 13.01.2025 08:00.</w:t>
      </w:r>
    </w:p>
    <w:p>
      <w:pPr>
        <w:pStyle w:val="Style10"/>
        <w:keepNext w:val="0"/>
        <w:keepLines w:val="0"/>
        <w:widowControl w:val="0"/>
        <w:shd w:val="clear" w:color="auto" w:fill="auto"/>
        <w:bidi w:val="0"/>
        <w:spacing w:before="0" w:after="280" w:line="262" w:lineRule="auto"/>
        <w:ind w:left="0" w:right="0" w:firstLine="720"/>
        <w:jc w:val="both"/>
      </w:pPr>
      <w:r>
        <w:rPr>
          <w:color w:val="000000"/>
          <w:spacing w:val="0"/>
          <w:w w:val="100"/>
          <w:position w:val="0"/>
          <w:sz w:val="24"/>
          <w:szCs w:val="24"/>
          <w:shd w:val="clear" w:color="auto" w:fill="auto"/>
          <w:lang w:val="ru-RU" w:eastAsia="ru-RU" w:bidi="ru-RU"/>
        </w:rPr>
        <w:t>Итоги подведения определения поставщика (подрядчика, исполнителя) отражены в протоколе № ИЭА1 от 15.01.2025.</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 1 ч. 2 ст. 42 Закона о контрактной системе извещение об осуществлении закупки, если иное не предусмотрено Законом о контрактной системе, должно содержать, в том числе, описание объекта закупки в соответствии со ст. 33 Закона о контрактной системе.</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Пунктами 1, 6 ч. 1 ст. 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6)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2 части 10 статьи 24 Закона о контрактной системе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В соответствии с извещением о проведении электронного аукциона объектом </w:t>
      </w:r>
      <w:r>
        <w:rPr>
          <w:color w:val="000000"/>
          <w:spacing w:val="0"/>
          <w:w w:val="100"/>
          <w:position w:val="0"/>
          <w:sz w:val="24"/>
          <w:szCs w:val="24"/>
          <w:shd w:val="clear" w:color="auto" w:fill="auto"/>
          <w:lang w:val="ru-RU" w:eastAsia="ru-RU" w:bidi="ru-RU"/>
        </w:rPr>
        <w:t>закупки является поставка лекарственного препарата «Осимертиниб» (МНН Осимертиниб).</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1 ст. 1229 Гражданского кодекса Российской Федерации (далее - ГК РФ)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на средство индивидуализации (статья 1233 ГК РФ), если ГК РФ не предусмотрено иное.</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Вместе с тем в соответствии с вышеуказанной нормой другие лица не могут использовать соответствующие результат интеллектуальной деятельности или средство индивидуализации без согласия правообладателя, за исключением случаев, предусмотренных ГК РФ. Использование результата интеллектуальной деятельности или средства индивидуализации (в том числе их использование способами, предусмотренными ГК РФ), если такое использование осуществляется без согласия правообладателя, является незаконным и влечет ответственность, установленную ГК РФ, другими законами, за 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ГК РФ.</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Пунктом 1 ст. 1358 ГК РФ установлено, что патентообладателю принадлежит исключительное право использования изобретения, полезной модели или промышленного образца в соответствии со статьей 1229 ГК РФ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пунктом 2 статьи 1358 ГК РФ. Патентообладатель может распоряжаться исключительным правом на изобретение, полезную модель или промышленный образец.</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п.п. «а» и.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и.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 12 ст. 48 Закона о контрактной системе.</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и. 8 ч. 12 ст. 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и. 2.3 электронного документа к извещению о проведении электронного аукциона «Требования к составу заявки и инструкция по ее заполнению»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«Предоставляются. Копия действующего регистрационного удостоверения на лекарственный препарат, являющийся объектом закупки, подлежащий обращению </w:t>
      </w:r>
      <w:r>
        <w:rPr>
          <w:color w:val="000000"/>
          <w:spacing w:val="0"/>
          <w:w w:val="100"/>
          <w:position w:val="0"/>
          <w:sz w:val="24"/>
          <w:szCs w:val="24"/>
          <w:shd w:val="clear" w:color="auto" w:fill="auto"/>
          <w:lang w:val="ru-RU" w:eastAsia="ru-RU" w:bidi="ru-RU"/>
        </w:rPr>
        <w:t>на территории Российской Федерации(в соответствии со ст. 29 Федерального закона от 12.04.2010 № 61-ФЗ «Об обращении лекарственных средств»), или реквизиты (номер, дата) действующего регистрационного удостоверения на лекарственный препарат, являющийся объектом закупки)».</w:t>
      </w:r>
    </w:p>
    <w:p>
      <w:pPr>
        <w:pStyle w:val="Style10"/>
        <w:keepNext w:val="0"/>
        <w:keepLines w:val="0"/>
        <w:widowControl w:val="0"/>
        <w:shd w:val="clear" w:color="auto" w:fill="auto"/>
        <w:bidi w:val="0"/>
        <w:spacing w:before="0" w:after="40"/>
        <w:ind w:left="0" w:right="0" w:firstLine="72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15.01.2025 №ИЭА1 (далее - Протокол) по результатам подведения итогов определения поставщика (подрядчика, исполнителя) заявка под номером 1 (идентификационный номер заявки, присвоенный оператором электронной площадки 118030659) Комиссией по осуществлению закупки отклонена по следующему основанию:</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«Выявление недостоверной информации, содержащейся в заявке на участие в закупке (Отклонение по п. 8 ч. 12 ст. 48 Закона о контрактной системе). При рассмотрении заявки участника закупки комиссией по осуществлению закупки установлено следующее: Участником закупки предложен к поставке лекарственный препарат «Осимертиниб» (МНН Осимертиниб), который введен в гражданский оборот по регистрационному удостоверению от 31.05.2023 № ЛП-№(002439)-(РГ-КП), с незаконным использованием изобретения по евразийскому патенту № 024421, правообладателем которого является компания АстраЗенека АБ (Швеция), без согласия правообладателя на такое использование, что нарушает действующее законодательство Российской Федерации, и, как следствие, положения Закона о контрактной системе и извещения об осуществлении закупки».</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Порядку ведения Фармацевтического реестра Евразийского патентного ведомства (далее - Фармреестр), утвержденному приказом Евразийского патентного ведомства от 27.07.2022 № 37 (далее - Порядок), Фармреестр представляет собой информационный ресурс Евразийского патентного ведомства (далее - ЕАПО), содержащий сведения в отношении евразийских патентов на изобретения (евразийские патенты) и национальных патентов на изобретения государств-участников Евразийской патентной конвенции (национальные патенты), относящиеся к фармакологически активным веществам, которым присвоены международные непатентованные наименования (пункт 2 Порядка).</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 4 Порядка Фармреестр ведется в электронной форме на русском языке. При этом, МНН, имя или наименование патентовладельца, а также название изобретения включаются в Фармреестр также на английском языке.</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 5 Порядка доступ к Фармреестру предоставляется на безвозмездной основе через веб-портал Евразийской патентной организации (ЕАПО).</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Пунктом 6 Порядка установлено, что в Фармреестр вносятся сведения о евразийских и национальных патентах, на основе которых охраняются фармакологически активные вещества (химические соединения, в том числе описанные общей структурной формулой, биотехнологические продукты, композиции и комбинации, содержащие фармакологически активные вещества), способы получения фармакологически активных веществ и их медицинские применения.</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При этом пунктом 12 Порядка внесение в Фармреестр сведений о евразийских и национальных патентах, предусмотренных пунктами 8 и 9 настоящего Порядка, осуществляется по результатам экспертизы, проведенной ЕАПО на предмет установления соответствия МНН охраняемому евразийским либо национальным патентом фармакологически активному веществу.</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В соответствии с решением Федеральной антимонопольной службы России (далее - ФАС России) по делу № 08/01/14.5-76/2024 от 02.11.2024 ООО «АксельФарм» (ИНН: 5005066300) ввел в гражданский оборот лекарственный препарат «Осимертиниб» (МНН </w:t>
      </w:r>
      <w:r>
        <w:rPr>
          <w:color w:val="000000"/>
          <w:spacing w:val="0"/>
          <w:w w:val="100"/>
          <w:position w:val="0"/>
          <w:sz w:val="24"/>
          <w:szCs w:val="24"/>
          <w:shd w:val="clear" w:color="auto" w:fill="auto"/>
          <w:lang w:val="ru-RU" w:eastAsia="ru-RU" w:bidi="ru-RU"/>
        </w:rPr>
        <w:t>Осимертиниб) по регистрационному удостоверению от 31.05.2023 № ЛП- № (002439) — (РГ-КЕГ) с незаконным использованием изобретения «М-(2-{2-диметиламиноэтил- метиламино } -4-метокси-5 - {[4-( 1 -метилиндол-3 -ил)пиримидин-2-ил] амино } фенил) проп-2- енамид и его фармацевтически приемлемые соли в качестве модуляторов ЕСЕК, полезных для лечения рака» по евразийскому патенту № 0244121, выданному 18.07.2016, правообладателем которого является компания АстраЗенека АБ (Швеция), без согласия правообладателя на такое использование (срок действия на территории Российской Федерации евразийского патента № 024421 истекает 18.10.2032). Действия ООО «АксельФарм» признаны нарушившими ст. 14.5 Федерального закона от 26.07.2006 № 135- ФЗ «О защите конкуренции». ООО «АксельФарм» выдано предписание, в том числе о прекращении действий, нарушающих антимонопольное законодательство, а именно: прекратить введение в гражданский оборот лекарственного препарата «Осимертиниб» (МНН Осимертиниб) по регистрационному удостоверению от 31.05.2023 № ЛП-№(002439)-(РГ-КЕГ) до истечения срока патентной защиты евразийского патента № 024421 - 18.10.2032, либо до вступления в законную силу решения Арбитражного суда города Москвы по делу № А40-262689/2023, в случае удовлетворения искового заявления ООО «АксельФарм» о выдаче принудительной простой (неисключительной) лицензии на использование изобретения, охраняемого евразийским патентом № 024421.</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адрес Еврейского УФАС России от ФАС России поступило информационное письмо от 24.01.2025 исх. № МШ/5449/25 (вход. № 188-ЭП/25 от 27.01.2025) о применении отдельных положений Закона о контрактной системе при рассмотрении заявок участников закупок при закупке лекарственного препарата с использованием активного вещества «Осимертиниб», ссылаясь на решение комиссии ФАС России от 20.11.2024 по делу № 08/01/14.5-76/2024. Также указано, что наличие в заявке участника закупки предложения о поставке лекарственного препарата с использованием активного вещества «Осимертиниб», производителем которого является ООО «ОнкоТаргет», нарушает действующее законодательство Российской Федерации и образует основание для отклонения заявки в соответствии с положениями и. 8 ч. 12 ст. 48 Закона о контрактной системе.</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заседании Комиссии установлено и материалами дела подтверждается, что в составе заявки участника рассматриваемой закупки (идентификационный номер заявки 118030659) - ООО «АлькормФарм» предложен к поставке лекарственный препарат «Осимертиниб» (МНН Осимертиниб) с действующим веществом «Осимертиниб» (регистрационное удостоверение от 31.05.2023 № ЛП- № (002439) - (РГ-КЕГ)), который защищен Евразийским патентом на изобретение № 024421, держателем которого является АстраЗенека АБ, что свидетельствует о том, что предложенный данным участником электронного аукциона к поставке лекарственный препарат «Осимертиниб» (МНН Осимертиниб), держателем регистрационного удостоверения которого является ООО «АлькорФарм», производителем ООО «ОнкоТаргет», нарушает исключительные права патентообладателя. Патентообладатель компании АстраЗенека АБ (Швеция) не предоставляла право использования принадлежащего ему изобретения в зарегистрированном и вводящемся в гражданский оборот лекарственном препарате «Осимертиниб» (МНН Осимертиниб).</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Кроме того, Роспатентом было принято решение от 14.08.2024 об удовлетворении возражений, поступивших 26.09.2023 от «АстраЗенека АБ», о признании действия евразийского патента на изобретение № 040996 на территории Российской Федерации недействительным полностью, что подтверждается отсутствием сведений об указанном патенте в Фармреестре (ЫфзУ/оИ.еаро.огд/ш/раЩЩз/геезй/еайгта.рйр).</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Изучив представленные в материалы дела документы, а также выслушав пояснения представителей Заявителя, Заказчика, Комиссия установила, что Евразийский патент на изобретение № 024421, включенный в Фармреестр, предоставляет правовую охрану действующему веществу Осимертиниб, использующимся в лекарственном препарате «Тагриссо», в связи с чем предложение подателя жалобы к поставке лекарственного препарата «Осимертиниб», который также изготовлен с использованием активного вещества Осимертиниб, что подтверждается сведениями Государственного реестра лекарственных средств, нарушает действующее законодательство Российской Федерации, и, как следствие, положения Закона о контрактной системе и Извещения о проведении электронного аукциона.</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Как следует из пункта 13.1 проекта государственного контракта (приложение к извещению о проведении электронного аукциона №0878500000224001883) установлено, что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Комиссией по доводу Заявителя о том, что Заказчиком не установлены требования к предоставлению в составе заявки на участие в закупке патента или иных документов, подтверждающих наличие у участника закупки исключительных прав на зарегистрированный лекарственный препарат, предлагаемый участником к поставке, отклоняется, поскольку извещение о проведении закупки составлено в соответствии с требованиями Закона о контрактной системе, предоставление указанных Заявителем документов и сведений в заявке законодательством не предусмотрено.</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Комиссия по осуществлению закупки при рассмотрении заявок участников закупки вправе пользоваться открытыми официальными источниками в целях проверки сведений, содержащихся в заявке участника закупки, на предмет их достоверности. Законом о контрактной системе не установлено запрета.</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Учитывая содержание Решения ФАС России № 08/01/14.5-76/2024 от 02.11.2024, Решения Федеральной службы по интеллектуальной собственности от 14.08.2024, информационного письма ФАС России от 24.01.2025 исх. № МШ/5449/25 (вход. № 188- ЭП/25 от 27.01.2025), довод Заявителя со ссылками на отсутствие вступившего в законную силу решения суда о нарушении исключительных прав также не имеет правового значения для рассмотрения настоящей жалобы по существу.</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Довод Заявителя о том, что лекарственный препарат ТН Осимертиниб зарегистрирован на территории РФ в установленном законом порядке, имеет действующее регистрационное удостоверение № ЛП-№(002439)-(РГ-Ки) от 31.05.2023 и зарегистрированную предельную отпускную цену, не подтверждает неправомерность решения Комиссии по осуществлению закупки с учетом установленных в настоящем решении обстоятельств.</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Кроме того, Комиссия не принимает довод Заявителя, в части того, что Комиссия по осуществлению закупок не наделена полномочиями по установлению факта нарушения исключительных прав третьих лиц (патентообладателей) на результаты интеллектуальной деятельности, связанных с поставкой и использованием лекарственного препарата ТН Осимертиниб, поскольку Комиссия по осуществлению закупки не устанавливала факт нарушения исключительных прав третьих лиц (патентообладателей) на результаты интеллектуальной деятельности, связанных с поставкой и использованием лекарственного препарата ТН Осимертиниб. Комиссия по осуществлению закупки рассмотрела заявку подателя жалобы в соответствии с требованиями Закона о контрактной системе, положениями извещения об электронном аукционе, а также с учетом имеющихся сведений, </w:t>
      </w:r>
      <w:r>
        <w:rPr>
          <w:color w:val="000000"/>
          <w:spacing w:val="0"/>
          <w:w w:val="100"/>
          <w:position w:val="0"/>
          <w:sz w:val="24"/>
          <w:szCs w:val="24"/>
          <w:shd w:val="clear" w:color="auto" w:fill="auto"/>
          <w:lang w:val="ru-RU" w:eastAsia="ru-RU" w:bidi="ru-RU"/>
        </w:rPr>
        <w:t>размещенных в открытых источниках, и решений уполномоченных административных органов.</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Ссылка Заявителя на судебные дела №№ А40-197514/2023, А40-196408/2023 не принимаются, так как предметом рассмотрения данных судебных дел не являлся вопрос о защите интеллектуальных прав, поскольку иски были поданы Астразенека АБ соответственно к Минздраву России и к ООО «АксельФарм» и касались отмены государственной регистрации лекарственного препарата.</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Комиссия Еврейского УФАС России, принимая во внимание решение ФАС России по делу № 08/01/14.5-76/2024, решение Роспатента от 14.08.2024 о признании полностью недействительным на территории Российской Федерации евразийского патента на изобретение № 40996, информационное письмо ФАС России от 24.01.2025 исх. № МШ/5449/25 (вход. № 188-ЭП/25 от 27.01.2025), приходит к выводу, что Комиссия по осуществлению закупок законно и обоснованно отклонила заявку под идентификационном номером заявки 118030659 (ООО «АлькорФарм»),</w:t>
      </w:r>
    </w:p>
    <w:p>
      <w:pPr>
        <w:pStyle w:val="Style10"/>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Следовательно, в действиях Комиссии по осуществлению закупки не выявлены нарушения Закона о контрактной системе и доводы Заявителя необоснованны.</w:t>
      </w:r>
    </w:p>
    <w:p>
      <w:pPr>
        <w:pStyle w:val="Style10"/>
        <w:keepNext w:val="0"/>
        <w:keepLines w:val="0"/>
        <w:widowControl w:val="0"/>
        <w:shd w:val="clear" w:color="auto" w:fill="auto"/>
        <w:bidi w:val="0"/>
        <w:spacing w:before="0" w:after="300"/>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руководствуясь ст. 99, 106, 107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300"/>
        <w:ind w:left="0" w:right="0" w:firstLine="0"/>
        <w:jc w:val="center"/>
      </w:pPr>
      <w:r>
        <w:rPr>
          <w:color w:val="000000"/>
          <w:spacing w:val="0"/>
          <w:w w:val="100"/>
          <w:position w:val="0"/>
          <w:sz w:val="24"/>
          <w:szCs w:val="24"/>
          <w:shd w:val="clear" w:color="auto" w:fill="auto"/>
          <w:lang w:val="ru-RU" w:eastAsia="ru-RU" w:bidi="ru-RU"/>
        </w:rPr>
        <w:t>РЕШИЛА:</w:t>
      </w:r>
    </w:p>
    <w:p>
      <w:pPr>
        <w:pStyle w:val="Style10"/>
        <w:keepNext w:val="0"/>
        <w:keepLines w:val="0"/>
        <w:widowControl w:val="0"/>
        <w:shd w:val="clear" w:color="auto" w:fill="auto"/>
        <w:tabs>
          <w:tab w:pos="5654" w:val="left"/>
          <w:tab w:pos="6288" w:val="left"/>
        </w:tabs>
        <w:bidi w:val="0"/>
        <w:spacing w:before="0" w:after="0"/>
        <w:ind w:left="0" w:right="0" w:firstLine="720"/>
        <w:jc w:val="both"/>
      </w:pPr>
      <w:r>
        <w:rPr>
          <w:color w:val="000000"/>
          <w:spacing w:val="0"/>
          <w:w w:val="100"/>
          <w:position w:val="0"/>
          <w:sz w:val="24"/>
          <w:szCs w:val="24"/>
          <w:shd w:val="clear" w:color="auto" w:fill="auto"/>
          <w:lang w:val="ru-RU" w:eastAsia="ru-RU" w:bidi="ru-RU"/>
        </w:rPr>
        <w:t>Жалобу Общества с ограниченной ответственностью «АлькорФарм» на действия Комиссии по осуществлению закупок государственного заказчика - Областного государственного бюджетного учреждения здравоохранения «Онкологический диспансер», уполномоченного учреждения - Областного государственного казенного учреждения «Центр государственных закупок Еврейской автономной области» о нарушении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допущенных при осуществлении закупки для государственных нужд путем проведения электронного аукциона, объектом которого является: «Поставка лекарственного препарата «Осимертиниб» для медицинского применения» (извещение от 24.12.2024</w:t>
        <w:tab/>
        <w:t>№</w:t>
        <w:tab/>
        <w:t>0878500000224001883) признать</w:t>
      </w:r>
    </w:p>
    <w:p>
      <w:pPr>
        <w:pStyle w:val="Style10"/>
        <w:keepNext w:val="0"/>
        <w:keepLines w:val="0"/>
        <w:widowControl w:val="0"/>
        <w:shd w:val="clear" w:color="auto" w:fill="auto"/>
        <w:bidi w:val="0"/>
        <w:spacing w:before="0" w:after="1540"/>
        <w:ind w:left="0" w:right="0" w:firstLine="0"/>
        <w:jc w:val="both"/>
      </w:pPr>
      <w:r>
        <w:rPr>
          <w:color w:val="000000"/>
          <w:spacing w:val="0"/>
          <w:w w:val="100"/>
          <w:position w:val="0"/>
          <w:sz w:val="24"/>
          <w:szCs w:val="24"/>
          <w:shd w:val="clear" w:color="auto" w:fill="auto"/>
          <w:lang w:val="ru-RU" w:eastAsia="ru-RU" w:bidi="ru-RU"/>
        </w:rPr>
        <w:t>необоснованной.</w:t>
      </w:r>
    </w:p>
    <w:p>
      <w:pPr>
        <w:pStyle w:val="Style10"/>
        <w:keepNext w:val="0"/>
        <w:keepLines w:val="0"/>
        <w:widowControl w:val="0"/>
        <w:shd w:val="clear" w:color="auto" w:fill="auto"/>
        <w:bidi w:val="0"/>
        <w:spacing w:before="0" w:after="14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r>
    </w:p>
    <w:p>
      <w:pPr>
        <w:pStyle w:val="Style10"/>
        <w:keepNext w:val="0"/>
        <w:keepLines w:val="0"/>
        <w:widowControl w:val="0"/>
        <w:shd w:val="clear" w:color="auto" w:fill="auto"/>
        <w:bidi w:val="0"/>
        <w:spacing w:before="0" w:after="44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after="0"/>
        <w:ind w:left="0" w:right="0" w:firstLine="700"/>
        <w:jc w:val="both"/>
      </w:pPr>
      <w:r>
        <w:rPr>
          <w:color w:val="000000"/>
          <w:spacing w:val="0"/>
          <w:w w:val="100"/>
          <w:position w:val="0"/>
          <w:sz w:val="24"/>
          <w:szCs w:val="24"/>
          <w:shd w:val="clear" w:color="auto" w:fill="auto"/>
          <w:lang w:val="ru-RU" w:eastAsia="ru-RU" w:bidi="ru-RU"/>
        </w:rPr>
        <w:t>Решение может быть обжаловано в течение трех месяцев со дня его принятия в Арбитражном суде Еврейской автономной области.</w:t>
      </w:r>
    </w:p>
    <w:sectPr>
      <w:footnotePr>
        <w:pos w:val="pageBottom"/>
        <w:numFmt w:val="decimal"/>
        <w:numRestart w:val="continuous"/>
      </w:footnotePr>
      <w:type w:val="continuous"/>
      <w:pgSz w:w="11900" w:h="16840"/>
      <w:pgMar w:top="1041" w:right="448" w:bottom="1180" w:left="105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728980</wp:posOffset>
              </wp:positionH>
              <wp:positionV relativeFrom="page">
                <wp:posOffset>10007600</wp:posOffset>
              </wp:positionV>
              <wp:extent cx="3307080" cy="100330"/>
              <wp:wrapNone/>
              <wp:docPr id="1" name="Shape 1"/>
              <a:graphic xmlns:a="http://schemas.openxmlformats.org/drawingml/2006/main">
                <a:graphicData uri="http://schemas.microsoft.com/office/word/2010/wordprocessingShape">
                  <wps:wsp>
                    <wps:cNvSpPr txBox="1"/>
                    <wps:spPr>
                      <a:xfrm>
                        <a:ext cx="3307080" cy="100330"/>
                      </a:xfrm>
                      <a:prstGeom prst="rect"/>
                      <a:noFill/>
                    </wps:spPr>
                    <wps:txbx>
                      <w:txbxContent>
                        <w:p>
                          <w:pPr>
                            <w:pStyle w:val="Style14"/>
                            <w:keepNext w:val="0"/>
                            <w:keepLines w:val="0"/>
                            <w:widowControl w:val="0"/>
                            <w:shd w:val="clear" w:color="auto" w:fill="auto"/>
                            <w:tabs>
                              <w:tab w:pos="5208"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2025-81</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399999999999999pt;margin-top:788.pt;width:260.39999999999998pt;height:7.9000000000000004pt;z-index:-188744063;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tabs>
                        <w:tab w:pos="5208"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2025-81</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487680" cy="103505"/>
              <wp:wrapNone/>
              <wp:docPr id="3" name="Shape 3"/>
              <a:graphic xmlns:a="http://schemas.openxmlformats.org/drawingml/2006/main">
                <a:graphicData uri="http://schemas.microsoft.com/office/word/2010/wordprocessingShape">
                  <wps:wsp>
                    <wps:cNvSpPr txBox="1"/>
                    <wps:spPr>
                      <a:xfrm>
                        <a:ext cx="487680" cy="1035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2025-81</w:t>
                          </w:r>
                        </w:p>
                      </w:txbxContent>
                    </wps:txbx>
                    <wps:bodyPr wrap="none" lIns="0" tIns="0" rIns="0" bIns="0">
                      <a:spAutoFit/>
                    </wps:bodyPr>
                  </wps:wsp>
                </a:graphicData>
              </a:graphic>
            </wp:anchor>
          </w:drawing>
        </mc:Choice>
        <mc:Fallback>
          <w:pict>
            <v:shape id="_x0000_s1029" type="#_x0000_t202" style="position:absolute;margin-left:57.pt;margin-top:776.20000000000005pt;width:38.3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2025-81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24"/>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85E8E"/>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85E8E"/>
      <w:sz w:val="19"/>
      <w:szCs w:val="19"/>
      <w:u w:val="none"/>
    </w:rPr>
  </w:style>
  <w:style w:type="character" w:customStyle="1" w:styleId="CharStyle8">
    <w:name w:val="Заголовок №2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42"/>
      <w:szCs w:val="42"/>
      <w:u w:val="none"/>
    </w:rPr>
  </w:style>
  <w:style w:type="paragraph" w:customStyle="1" w:styleId="Style2">
    <w:name w:val="Основной текст (2)"/>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85E8E"/>
      <w:sz w:val="16"/>
      <w:szCs w:val="16"/>
      <w:u w:val="none"/>
    </w:rPr>
  </w:style>
  <w:style w:type="paragraph" w:customStyle="1" w:styleId="Style5">
    <w:name w:val="Основной текст (3)"/>
    <w:basedOn w:val="Normal"/>
    <w:link w:val="CharStyle6"/>
    <w:pPr>
      <w:widowControl w:val="0"/>
      <w:shd w:val="clear" w:color="auto" w:fill="auto"/>
      <w:spacing w:after="100" w:line="254" w:lineRule="auto"/>
      <w:jc w:val="center"/>
    </w:pPr>
    <w:rPr>
      <w:rFonts w:ascii="Times New Roman" w:eastAsia="Times New Roman" w:hAnsi="Times New Roman" w:cs="Times New Roman"/>
      <w:b/>
      <w:bCs/>
      <w:i w:val="0"/>
      <w:iCs w:val="0"/>
      <w:smallCaps w:val="0"/>
      <w:strike w:val="0"/>
      <w:color w:val="485E8E"/>
      <w:sz w:val="19"/>
      <w:szCs w:val="19"/>
      <w:u w:val="none"/>
    </w:rPr>
  </w:style>
  <w:style w:type="paragraph" w:customStyle="1" w:styleId="Style7">
    <w:name w:val="Заголовок №2"/>
    <w:basedOn w:val="Normal"/>
    <w:link w:val="CharStyle8"/>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0">
    <w:name w:val="Основной текст"/>
    <w:basedOn w:val="Normal"/>
    <w:link w:val="CharStyle11"/>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Заголовок №1"/>
    <w:basedOn w:val="Normal"/>
    <w:link w:val="CharStyle19"/>
    <w:pPr>
      <w:widowControl w:val="0"/>
      <w:shd w:val="clear" w:color="auto" w:fill="auto"/>
      <w:spacing w:after="380"/>
      <w:outlineLvl w:val="0"/>
    </w:pPr>
    <w:rPr>
      <w:rFonts w:ascii="Arial" w:eastAsia="Arial" w:hAnsi="Arial" w:cs="Arial"/>
      <w:b w:val="0"/>
      <w:bCs w:val="0"/>
      <w:i w:val="0"/>
      <w:iCs w:val="0"/>
      <w:smallCaps w:val="0"/>
      <w:strike w:val="0"/>
      <w:sz w:val="42"/>
      <w:szCs w:val="4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Решение ФАС России от 05.12.2024 по делу N 24/44/99/231Обстоятельства: Заявка заявителя допущена на участие в запросе котировок после внесения изменения в извещение в части начальной суммы цен единиц товара, работы, услуги.Решение: Жалоба признана необоснованной, поскольку действия оператора электронной площадки не противоречат положениям Закона о контрактной системе.</dc:title>
  <dc:subject/>
  <dc:creator/>
  <cp:keywords/>
</cp:coreProperties>
</file>