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Святого Благоверного Князя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Михаила Тверского, д.5, г.Тверь, 170100</w:t>
        <w:br/>
        <w:t>тел. (4822) 32-08-32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1о69@Га5.{»оу.ги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ЕК/789/25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069/06/105-88/2025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«Объединенные энергетические системы Тверской области»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ое8@ое8-руег.ш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до1иЬеVа.xакирк^@та^1.ш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V^^а8^кеV^сЬ@^дк-^Vе^.^и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кот_до8хакаха@1уеггед.ги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«ИТ Синтез»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а1е\апс11\л@118т1ех.сот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таП@Н8т1ех.сот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росЫа@Н8т1ех.сот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8^Vо1оЬоV@^^8^п^еx.сот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ко@8ЬегЬапк-а81.ги, тГо@8ЬегЬапк-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33" w:bottom="1313" w:left="1125" w:header="0" w:footer="3" w:gutter="0"/>
          <w:pgNumType w:start="1"/>
          <w:cols w:num="2" w:space="720" w:equalWidth="0">
            <w:col w:w="4075" w:space="1205"/>
            <w:col w:w="466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а81.ги</w: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3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</w:t>
        <w:br/>
        <w:t>по делу № 069/06/105-88/2025 о рассмотрении жалобы на нарушение</w:t>
        <w:br/>
        <w:t>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«27» января 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«30» января 2025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— начальник отдела контроля закупок, 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В.А. - специалист 1 разряда отдела контроля закупок, при участии посредством видеоконференц-связи представителей: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- Уполномоченный орган): Заикиной Н.М.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«ИТ Синтез» (далее - Заявитель): Александрова С.Ю. (по решению), в отсутствие представителей ООО «Объединенные энергетические системы Тверской области» (далее - Заказчик),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посредством системы видеоконференц-связи жалобу Заявителя на действия Заказчика, при проведении открытого конкурса в электронной форме на право выполнения работ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подготовке проектной документации и выполнение инженерных изысканий, выполнение работ по строительству объекта: «Блочно-модульная газовая котельная по адресу: Тверская обл., г. Нелидово, ул. Казанская» (номер извещения в единой информационной системе в сфере закупок \\л\л\-.хакирк1.доу.ги (далее - ЕИС) - № 0136500001124007686) (далее - Закупка, Конкурс),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 проведя в соответствии с п. 1 ч. 15 ст. 99 Федерального закона от 05.04.2013 ^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внеплановую проверку,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Тверское УФАС России 20.01.2025 поступила жалоба Заявителя на действия (бездействия) закупочной комиссии при проведении Конкурса.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закупочной комиссией некорректно могли быть проведены работы по оценке соответствия, принятых документов, подтверждающих опыт участников конкурсной процедуры, а именно принят к оценке опыт выполнения работ, не соответствующий требованиям, или наоборот не принят опыт работ, соответствующий требованиями конкурсной документации.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Заказчик, Уполномоченный орган представили возражения, с доводами жалобы не согласились.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Тверского УФАС России, рассмотрев материалы дела,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Извещением, протоколами, составленными в ходе проведения Конкурса: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размещено в ЕИС - 17.12.2024;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определения поставщика (подрядчика, исполнителя) - открытый конкурс в электронной форме;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(далее - НМЦК) - 183 261 720,00 руб.;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на участие в Закупке - 13.01.2025;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подано 2 заявки,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  <w:tab w:pos="62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Конкурса -</w:t>
        <w:tab/>
        <w:t>15.01.2025, все заявки признаны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соответствующими требованиям, определен победитель.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устанавливаются Правительством Российской Федерации. Так,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Положения «оценка заявок»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«г» пункта 3 Положения для оценки заявок в соответствии с Положением применяется критерий «Квалификация участников закупки».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«е» пункта 28 Положения предусмотрено, что если работы, являющиеся объектом закупки,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эксплуатацию, документом, предусмотренным приложением № 1 к настоящему Положению, в отношении показателя оценки, предусмотренного подпунктом «в» пункта 24 настоящего Положения, его детализирующих показателей может быть установлено положение о принятии к оценке исключительно исполненного договора (договоров), предусматривающего (предусматривающих) выполнение работ,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15.01.2025 № ПРОШ комиссия по осуществлению закупок признала все заявки соответствующими требованиям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15.01.2025 №ИЭОК1 победителем закупки признано ООО «Гривна» (идентификационный номер заявки 224), предложившее лучшие условия исполнения контракта, итоговый балл по заявке -100.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Уполномоченного органа, представленных 24.12.204, к оценке были приняты 32 из 36 договоров, представленных Победителем.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Комиссией установлено, что часть договоров, представленных Победителем, не соответствовали критериям оценки, в именно не имели разрешение на ввод объекта капитального строительства в эксплуатацию.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органом представлены сведения, согласно которым учет дополнительных договоров (24 договоров) победителя не повлиял на результаты оценки.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 же время, в силу требований части 6 статьи 106 Закона, оценка результатов оценки заявок на участие в конкурсе по критерию «квалификация участников закупки...» (правильность начисления баллов), не входит в полномочия Комиссии.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действия комиссии по принятию к оценке договоров, несоответствующих критериям оценки, не соответствуют подпункту «б» пункта 1 части 11 статьи 48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Вышеуказанные действия содержит признаки состава административного правонарушения, предусмотренного частью 2 статьи 7.30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руководствуясь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Тверского УФАС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«ИТ Синтез»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действия закупочной комиссии несоответствующими подпункту «б» пункта 1 части 11 статьи 48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Оператору электронной площадки предписание об устранении выявленного нарушения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Тверского УФАС России для рассмотрения вопроса о возбуждении дела об административном правонарушении.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3" w:right="541" w:bottom="97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81000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304800</wp:posOffset>
                </wp:positionV>
                <wp:extent cx="1572895" cy="21336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24.pt;width:123.85000000000001pt;height:16.800000000000001pt;z-index:-125829374;mso-wrap-distance-left:0;mso-wrap-distance-top:24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2585" distB="0" distL="0" distR="1786255" simplePos="0" relativeHeight="125829381" behindDoc="0" locked="0" layoutInCell="1" allowOverlap="1">
            <wp:simplePos x="0" y="0"/>
            <wp:positionH relativeFrom="page">
              <wp:posOffset>2708275</wp:posOffset>
            </wp:positionH>
            <wp:positionV relativeFrom="paragraph">
              <wp:posOffset>362585</wp:posOffset>
            </wp:positionV>
            <wp:extent cx="353695" cy="53657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765175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9.25pt;margin-top:60.2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454025</wp:posOffset>
                </wp:positionV>
                <wp:extent cx="1722120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5.90000000000001pt;margin-top:35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161290" distL="0" distR="0" simplePos="0" relativeHeight="125829382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521335</wp:posOffset>
                </wp:positionV>
                <wp:extent cx="1149350" cy="21653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80000000000001pt;margin-top:41.050000000000004pt;width:90.5pt;height:17.050000000000001pt;z-index:-125829371;mso-wrap-distance-left:0;mso-wrap-distance-top:41.050000000000004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5707В9С4А2ОЕВ65ВЗС0А30А65ВС43802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08.07.2024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15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4767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151890" cy="20447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0;width:90.700000000000003pt;height:16.100000000000001pt;z-index:-125829369;mso-wrap-distance-left:0;mso-wrap-distance-right:0;mso-wrap-distance-bottom:35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8745" distB="0" distL="0" distR="1786255" simplePos="0" relativeHeight="125829386" behindDoc="0" locked="0" layoutInCell="1" allowOverlap="1">
            <wp:simplePos x="0" y="0"/>
            <wp:positionH relativeFrom="page">
              <wp:posOffset>2708275</wp:posOffset>
            </wp:positionH>
            <wp:positionV relativeFrom="paragraph">
              <wp:posOffset>118745</wp:posOffset>
            </wp:positionV>
            <wp:extent cx="353695" cy="53657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518160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9.25pt;margin-top:40.8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207010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5.90000000000001pt;margin-top:16.3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43840" distB="188595" distL="0" distR="0" simplePos="0" relativeHeight="125829387" behindDoc="0" locked="0" layoutInCell="1" allowOverlap="1">
                <wp:simplePos x="0" y="0"/>
                <wp:positionH relativeFrom="page">
                  <wp:posOffset>6109335</wp:posOffset>
                </wp:positionH>
                <wp:positionV relativeFrom="paragraph">
                  <wp:posOffset>243840</wp:posOffset>
                </wp:positionV>
                <wp:extent cx="1078865" cy="21971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81.05000000000001pt;margin-top:19.199999999999999pt;width:84.950000000000003pt;height:17.300000000000001pt;z-index:-125829366;mso-wrap-distance-left:0;mso-wrap-distance-top:19.199999999999999pt;mso-wrap-distance-right:0;mso-wrap-distance-bottom:14.8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ВИННИЦКАЯ ПОЛ ИНА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00П8Е9ВЕОАС26Е0Е41ВЕС4410ЮЕВ2ВЕ9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2708275</wp:posOffset>
            </wp:positionH>
            <wp:positionV relativeFrom="paragraph">
              <wp:posOffset>266700</wp:posOffset>
            </wp:positionV>
            <wp:extent cx="353695" cy="53657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669290</wp:posOffset>
                </wp:positionV>
                <wp:extent cx="1280160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9.25pt;margin-top:52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354965</wp:posOffset>
                </wp:positionV>
                <wp:extent cx="1722120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5.90000000000001pt;margin-top:27.94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09.01.2026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00А9ЕЮ1Е166А21АЮВ58С4СО712С1СС9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05.09.2024 по 29.11.2025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56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9892030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8.89999999999998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633730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49.8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