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Fonts w:ascii="Courier New" w:eastAsia="Courier New" w:hAnsi="Courier New" w:cs="Courier New"/>
          <w:spacing w:val="0"/>
          <w:w w:val="100"/>
          <w:position w:val="0"/>
          <w:shd w:val="clear" w:color="auto" w:fill="auto"/>
          <w:lang w:val="ru-RU" w:eastAsia="ru-RU" w:bidi="ru-RU"/>
        </w:rPr>
        <w:t>МЯВ®</w:t>
      </w: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764" w:right="618" w:bottom="123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4610" distB="734695" distL="0" distR="0" simplePos="0" relativeHeight="125829378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54610</wp:posOffset>
                </wp:positionV>
                <wp:extent cx="2614930" cy="273431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4930" cy="273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Воронежской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40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пр-кт Революции, 21, г. Воронеж, 394036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тел./факс+7 (473) 255-92-44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е-таИ: (оЗб@1а8.аоу.ги</w:t>
                            </w:r>
                          </w:p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7.01.2025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ЮР/546/25</w:t>
                            </w:r>
                            <w:bookmarkEnd w:id="0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7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№ 036/06/42-92/2025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5pt;margin-top:4.2999999999999998pt;width:205.90000000000001pt;height:215.30000000000001pt;z-index:-125829375;mso-wrap-distance-left:0;mso-wrap-distance-top:4.2999999999999998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Воронежской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40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пр-кт Революции, 21, г. Воронеж, 394036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тел./факс+7 (473) 255-92-44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е-таИ: (оЗб@1а8.аоу.ги</w:t>
                      </w:r>
                    </w:p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7.01.2025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ЮР/546/25</w:t>
                      </w:r>
                      <w:bookmarkEnd w:id="0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7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№ 036/06/42-92/2025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0</wp:posOffset>
                </wp:positionV>
                <wp:extent cx="2995930" cy="35236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5930" cy="3523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ОБЩЕСТВО С ОГРАНИЧЕННОЙ ОТВЕТСТВЕННОСТЬЮ "РЕГИОНАЛЬНЫЙ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РЕАБИЛИТАЦИОННЫЙ ЦЕНТР" 355041, СТАВРОПОЛЬСКИЙ КРАЙ, Г СТАВРОПОЛЬ, УЛ МИРА, Д. 426/1, КВ. 88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БУЗ ВО "ВОКБ № 1"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394066, Воронежская область, г.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Воронеж, пр-кт Московский, д. 151 та^1@VокЪ1.x^^аV36.^и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Министерство по регулированию контрактной системы в сфере закупок Воронежской области до5/ака/@доу\т11.П1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0.25pt;margin-top:0;width:235.90000000000001pt;height:277.44999999999999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ОБЩЕСТВО С ОГРАНИЧЕННОЙ ОТВЕТСТВЕННОСТЬЮ "РЕГИОНАЛЬНЫЙ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РЕАБИЛИТАЦИОННЫЙ ЦЕНТР" 355041, СТАВРОПОЛЬСКИЙ КРАЙ, Г СТАВРОПОЛЬ, УЛ МИРА, Д. 426/1, КВ. 88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БУЗ ВО "ВОКБ № 1"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394066, Воронежская область, г.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Воронеж, пр-кт Московский, д. 151 та^1@VокЪ1.x^^аV36.^и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Министерство по регулированию контрактной системы в сфере закупок Воронежской области до5/ака/@доу\т11.П1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3" w:right="0" w:bottom="11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общества с ограниченной ответственностью</w:t>
        <w:br/>
        <w:t>«Региональный реабилитационный центр» на действия БУЗ ВО «ВОКБ № 1» и</w:t>
        <w:br/>
        <w:t>Министерства по регулированию контрактной системы в сфере закупок Воронежской</w:t>
        <w:br/>
        <w:t>области при проведении электронного аукциона на поставку медицинских изделий (номер</w:t>
        <w:br/>
        <w:t>извещения: 0131200001024015993)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(Дело № 036/06/42-92/2025)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195" w:val="left"/>
        </w:tabs>
        <w:bidi w:val="0"/>
        <w:spacing w:before="0" w:after="4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 г.</w:t>
        <w:tab/>
        <w:t>г. Воронеж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настоящего решения объявлена 22.01.2025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9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27.01.2025 года.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Рощупкина Ю.В. -председатель Комиссии, начальник отдела контроля закупок управления федеральной антимонопольной службы по Воронежской области;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Сороколетов М.С. - член Комиссии, специалист эксперт отдела контроля закупок управления федеральной антимонопольной службы по Воронежской области;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Апанащик У.А. - член Комиссии, специалист эксперт отдела контроля закупок управления федеральной антимонопольной службы по Воронежской области;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представителя общества с ограниченной ответственностью «Региональный реабилитационный центр» (о месте и времени рассмотрения уведомлен надлежащим образом);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бюджетного учреждения здравоохранения Воронежской области «ВОРОНЕЖСКАЯ ОБЛАСТНАЯ КЛИНИЧЕСКАЯ БОЛЬНИЦА № 1»: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5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Дороховой И.И. (доверенность от 14.08.2024 года № 86-15/3473),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Министерства по регулированию контрактной системы в сфере закупок Воронежской области: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5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Закора В.С. (доверенность от 13.01.2025 года №20),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5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Скорикной Н.В. (доверенность от 16.01.2025 года №6),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общества с ограниченной ответственностью «Региональный реабилитационный центр» на действия БУЗ ВО «ВОКБ № 1» и Министерства по регулированию контрактной системы в сфере закупок Воронежской области при проведении электронного аукциона на поставку медицинских изделий (номер извещения: 0131200001024015993),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Воронежской области поступила жалоба общества с ограниченной ответственностью «Региональный реабилитационный центр» (далее - Заявитель) на действия БУЗ ВО «ВОКБ № 1» (далее - Заказчик) и Министерства по регулированию контрактной системы в сфере закупок Воронежской области (далее - Уполномоченный орган) при проведении электронного аукциона на поставку медицинских изделий (номер извещения: 0131200001024015993) (далее - Аукцион).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доводам жалобы извещение о проведении закупки сформировано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излишней детализацией объекта закупки, что исключает возможность предложить к поставке оригинальные и аналоговые товары, данные обстоятельства по мнению Заявителя, нарушают положения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орган, Заказчик с доводами, изложенными в жалобе, не согласны, предоставлены письменные возражения.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материалы дела, предоставленные доказательства, Комиссия Воронежского УФАС России пришла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19.12.2024 года в единой информационной системе размещено Извещение о проведении электронного аукциона от 19.12.2024 №0131200001024015993.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- 724 719,88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рассматриваемой закупки является поставка медицинских изделий.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Определение поставщика (подрядчика, исполнителя) осуществляется путём проведения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5 статьи 24 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24 статьи 22 Закона о контрактной системе) наиболее низкую цену контракта, наименьшую сумму цен таких единиц либо в случае, предусмотренном пунктом 9 части 3 статьи 49 Закона о контрактной системе, - наиболее высокий размер платы, подлежащей внесению участником закупки за заключение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49 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Извещению объектом закупки является: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390" w:val="left"/>
        </w:tabs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№</w:t>
        <w:tab/>
        <w:t>1- Буферный разбавитель образцов ИВД,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автоматические/полуавтоматические системы (КТРУ — 21.20.23.110-00000016);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№ 2 - Реагент для лизиса клеток крови ИВД (КТРУ — 21.20.23.110</w:t>
        <w:softHyphen/>
        <w:t>00011121);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№ 3 - Реагент для лизиса клеток крови ИВД (КТРУ — 21.20.23.110</w:t>
        <w:softHyphen/>
        <w:t>00011121);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№ 4 - Реагент для лизиса клеток крови ИВД (КТРУ — 21.20.23.110</w:t>
        <w:softHyphen/>
        <w:t>00011121);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189" w:val="left"/>
          <w:tab w:pos="3866" w:val="left"/>
        </w:tabs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№</w:t>
        <w:tab/>
        <w:t>5</w:t>
        <w:tab/>
        <w:t>- Буферный разбавитель образцов ИВД,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автоматические/полуавтоматические системы (КТРУ — 21.20.23.110-00000017);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№ 6 - Имитаторы клеток крови для калибровки/контроля ИВД, реагент (КТРУ — 21.20.23.110-00006332).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следующий электронный документ: описание объекта закупки в соответствии со статьей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электронным документом - «Приложение № 3 Описание объекта закупки» Заказчиком представлено описание объекта закупки со следующими характеристиками 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показателями:</w:t>
      </w:r>
    </w:p>
    <w:tbl>
      <w:tblPr>
        <w:tblOverlap w:val="never"/>
        <w:jc w:val="center"/>
        <w:tblLayout w:type="fixed"/>
      </w:tblPr>
      <w:tblGrid>
        <w:gridCol w:w="1882"/>
        <w:gridCol w:w="2808"/>
        <w:gridCol w:w="5530"/>
      </w:tblGrid>
      <w:tr>
        <w:trPr>
          <w:trHeight w:val="125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Буферный разбавитель образцов ИВД, автоматические /полуавтоматич еские системы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21.20.23.110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328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21.20.23.110</w:t>
              <w:softHyphen/>
              <w:t>00000016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Реагент для лизиса клеток крови ИВД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21.20.23.110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21.20.23.110</w:t>
              <w:softHyphen/>
              <w:t>00011121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Буферный разбавитель образцов ИВД,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показателей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Значение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показателя</w:t>
            </w:r>
          </w:p>
        </w:tc>
      </w:tr>
      <w:tr>
        <w:trPr>
          <w:trHeight w:val="96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</w:t>
              <w:tab/>
              <w:t>метки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идентификации реагента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Штрих-код метка</w:t>
            </w:r>
          </w:p>
        </w:tc>
      </w:tr>
      <w:tr>
        <w:trPr>
          <w:trHeight w:val="69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анализаторов серий ХХ, X^-^, ХТ, Х8, ХР</w:t>
            </w:r>
          </w:p>
        </w:tc>
      </w:tr>
      <w:tr>
        <w:trPr>
          <w:trHeight w:val="68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Разбавляемые жидкости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Сыворотка, плазма крови человека, цельная кровь</w:t>
            </w:r>
          </w:p>
        </w:tc>
      </w:tr>
      <w:tr>
        <w:trPr>
          <w:trHeight w:val="179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Применение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925" w:val="left"/>
                <w:tab w:pos="2626" w:val="left"/>
                <w:tab w:pos="459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анализа количества и размеров эритроцитов и тромбоцитов</w:t>
              <w:tab/>
              <w:t>с</w:t>
              <w:tab/>
              <w:t>применением</w:t>
              <w:tab/>
              <w:t>метода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гидродинамической фокусировки (детектирование при постоянном токе), определения концентрации гемоглобина.</w:t>
            </w:r>
          </w:p>
        </w:tc>
      </w:tr>
      <w:tr>
        <w:trPr>
          <w:trHeight w:val="96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Объем реагента 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СМ3;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5000 и &lt; 20000</w:t>
            </w:r>
          </w:p>
        </w:tc>
      </w:tr>
      <w:tr>
        <w:trPr>
          <w:trHeight w:val="69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анализаторов серий ХХ, ХХ^, ХТ, Х8, ХР</w:t>
            </w:r>
          </w:p>
        </w:tc>
      </w:tr>
      <w:tr>
        <w:trPr>
          <w:trHeight w:val="96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Объем реагента 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СМ3;ЛМЛ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5000 и &lt; 20000</w:t>
            </w:r>
          </w:p>
        </w:tc>
      </w:tr>
      <w:tr>
        <w:trPr>
          <w:trHeight w:val="15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Применение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 комбинации со специальным разбавителем применяется для определения концентрации гемоглобина, высвобождаемого из КВС согласно 8^8-методу</w:t>
            </w:r>
          </w:p>
        </w:tc>
      </w:tr>
      <w:tr>
        <w:trPr>
          <w:trHeight w:val="15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23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Коэффициент вариации (СУ%)</w:t>
              <w:tab/>
              <w:t>для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воспроизводимости показателя НОВ , ПРОЦ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&lt; 1</w:t>
            </w:r>
          </w:p>
        </w:tc>
      </w:tr>
      <w:tr>
        <w:trPr>
          <w:trHeight w:val="97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</w:t>
              <w:tab/>
              <w:t>метки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идентификации реагента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Штрих-код метка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3" w:right="507" w:bottom="1192" w:left="10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1656" w:h="2275" w:wrap="none" w:hAnchor="page" w:x="1093" w:y="1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автоматические /полуавтоматич еские системы</w:t>
      </w:r>
    </w:p>
    <w:p>
      <w:pPr>
        <w:pStyle w:val="Style11"/>
        <w:keepNext w:val="0"/>
        <w:keepLines w:val="0"/>
        <w:framePr w:w="1656" w:h="2275" w:wrap="none" w:hAnchor="page" w:x="1093" w:y="1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21.20.23.110</w:t>
      </w:r>
    </w:p>
    <w:p>
      <w:pPr>
        <w:pStyle w:val="Style11"/>
        <w:keepNext w:val="0"/>
        <w:keepLines w:val="0"/>
        <w:framePr w:w="1656" w:h="2275" w:wrap="none" w:hAnchor="page" w:x="109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21.20.23.110</w:t>
        <w:softHyphen/>
      </w:r>
    </w:p>
    <w:p>
      <w:pPr>
        <w:pStyle w:val="Style11"/>
        <w:keepNext w:val="0"/>
        <w:keepLines w:val="0"/>
        <w:framePr w:w="1656" w:h="2275" w:wrap="none" w:hAnchor="page" w:x="1093" w:y="1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00000017</w:t>
      </w:r>
    </w:p>
    <w:p>
      <w:pPr>
        <w:pStyle w:val="Style11"/>
        <w:keepNext w:val="0"/>
        <w:keepLines w:val="0"/>
        <w:framePr w:w="1661" w:h="3106" w:wrap="none" w:hAnchor="page" w:x="1093" w:y="3313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Имитаторы клеток крови для калибровки/кон троля ИВД, реагент</w:t>
      </w:r>
    </w:p>
    <w:p>
      <w:pPr>
        <w:pStyle w:val="Style11"/>
        <w:keepNext w:val="0"/>
        <w:keepLines w:val="0"/>
        <w:framePr w:w="1661" w:h="3106" w:wrap="none" w:hAnchor="page" w:x="1093" w:y="3313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21.20.23.110</w:t>
      </w:r>
    </w:p>
    <w:p>
      <w:pPr>
        <w:pStyle w:val="Style11"/>
        <w:keepNext w:val="0"/>
        <w:keepLines w:val="0"/>
        <w:framePr w:w="1661" w:h="3106" w:wrap="none" w:hAnchor="page" w:x="1093" w:y="3313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21.20.23.110</w:t>
        <w:softHyphen/>
        <w:t>00006332</w:t>
      </w:r>
    </w:p>
    <w:tbl>
      <w:tblPr>
        <w:tblOverlap w:val="never"/>
        <w:jc w:val="left"/>
        <w:tblLayout w:type="fixed"/>
      </w:tblPr>
      <w:tblGrid>
        <w:gridCol w:w="2813"/>
        <w:gridCol w:w="5525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анализаторов серий XX, X^-^, ХТ, Х8, ХР</w:t>
            </w:r>
          </w:p>
        </w:tc>
      </w:tr>
      <w:tr>
        <w:trPr>
          <w:trHeight w:val="9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Объем реагента ,</w:t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СМ3;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1000 и &lt; 4200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Разбавляемые жидкости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Сыворотка, плазма крови человека, цельная кровь</w:t>
            </w:r>
          </w:p>
        </w:tc>
      </w:tr>
      <w:tr>
        <w:trPr>
          <w:trHeight w:val="9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Применение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Реагент предназначен для анализа ретикулоцитов и/или тромбоцитов</w:t>
            </w:r>
          </w:p>
        </w:tc>
      </w:tr>
      <w:tr>
        <w:trPr>
          <w:trHeight w:val="9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tabs>
                <w:tab w:pos="119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</w:t>
              <w:tab/>
              <w:t>контрольного</w:t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материала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Стандартизированная кровь, 3 уровня</w:t>
            </w:r>
          </w:p>
        </w:tc>
      </w:tr>
      <w:tr>
        <w:trPr>
          <w:trHeight w:val="17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Описание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анализа форменных элементов крови (СВС), дифференциальной лейкоцитарной формулы, а также подсчета ретикулоцитов и ядросодержащих эритроцитов (ЫКВС) в низком диапазоне, в нормальном диапазоне, в высоком диапазоне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tabs>
                <w:tab w:pos="179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Объем контрольного материала</w:t>
              <w:tab/>
              <w:t>низкого</w:t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диапазона , СМ3;ЛМЛ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3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Объем контрольного материала нормального диапазона , СМ3;ЛМЛ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3</w:t>
            </w:r>
          </w:p>
        </w:tc>
      </w:tr>
      <w:tr>
        <w:trPr>
          <w:trHeight w:val="12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tabs>
                <w:tab w:pos="165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Объем контрольного материала</w:t>
              <w:tab/>
              <w:t>высокого</w:t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диапазона , СМ3;ЛМЛ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&gt; 3</w:t>
            </w:r>
          </w:p>
        </w:tc>
      </w:tr>
      <w:tr>
        <w:trPr>
          <w:trHeight w:val="34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Аттестованные параметры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tabs>
                <w:tab w:pos="1570" w:val="left"/>
                <w:tab w:pos="3091" w:val="left"/>
                <w:tab w:pos="417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контрольные значения и предельные значения для контроля</w:t>
              <w:tab/>
              <w:t>качества</w:t>
              <w:tab/>
              <w:t>всех</w:t>
              <w:tab/>
              <w:t>доступных</w:t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tabs>
                <w:tab w:pos="2304" w:val="left"/>
                <w:tab w:pos="5285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диагностических параметров, включая абсолютное и относительное содержание нормобластов, абсолютное и относительное содержание незрелых гранулоцитов, а также абсолютное и относительное</w:t>
              <w:tab/>
              <w:t>содержание</w:t>
              <w:tab/>
              <w:t>антитело</w:t>
              <w:softHyphen/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tabs>
                <w:tab w:pos="2794" w:val="center"/>
                <w:tab w:pos="5285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синтезирующих лимфоцитов и абсолютное и относительное</w:t>
              <w:tab/>
              <w:t>содержание</w:t>
              <w:tab/>
              <w:t>реактивных</w:t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лимфоцитов, за исключением интенсивности реактивности и гранулярности нейтрофилов</w:t>
            </w:r>
          </w:p>
        </w:tc>
      </w:tr>
      <w:tr>
        <w:trPr>
          <w:trHeight w:val="8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tabs>
                <w:tab w:pos="1022" w:val="left"/>
                <w:tab w:pos="337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</w:t>
              <w:tab/>
              <w:t>автоматического</w:t>
              <w:tab/>
              <w:t>гематологического</w:t>
            </w:r>
          </w:p>
          <w:p>
            <w:pPr>
              <w:pStyle w:val="Style23"/>
              <w:keepNext w:val="0"/>
              <w:keepLines w:val="0"/>
              <w:framePr w:w="8338" w:h="14112" w:wrap="none" w:hAnchor="page" w:x="287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анализатора серии 8узтех, имеющегося у</w:t>
            </w:r>
          </w:p>
        </w:tc>
      </w:tr>
    </w:tbl>
    <w:p>
      <w:pPr>
        <w:framePr w:w="8338" w:h="14112" w:wrap="none" w:hAnchor="page" w:x="2879" w:y="11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24" w:right="685" w:bottom="966" w:left="1092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right"/>
        <w:tblLayout w:type="fixed"/>
      </w:tblPr>
      <w:tblGrid>
        <w:gridCol w:w="2813"/>
        <w:gridCol w:w="5525"/>
      </w:tblGrid>
      <w:tr>
        <w:trPr>
          <w:trHeight w:val="70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Заказчика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5 ч. 1 ст. 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14 ч. 3 ст. 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КТРУ) и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пп."а", "б" п. 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- приглашение);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3" w:val="left"/>
        </w:tabs>
        <w:bidi w:val="0"/>
        <w:spacing w:before="0" w:after="1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3" w:val="left"/>
        </w:tabs>
        <w:bidi w:val="0"/>
        <w:spacing w:before="0" w:after="1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б) описания объектов закупки, которое включается в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4 Правил использования КТРУ Заказчики обязаны применять информацию, включенную в позицию каталога в соответствии с пп."б" - "г" и "е" - "з" п. 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№ 0131200001024015993 Заказчиком использованы коды позиции КТРУ. В выбранных КТРУ содержалось описание товара с характеристиками, которые включены в описание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по позиции № 2 «Реагент для лизиса клеток крови ИВД» установлено дополнительное требование к закупаемого товару: «Коэффициент вариации (СУ%) для воспроизводимости показателя НОВ , ПРОЦ &lt; 1».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Воронежского УФАС России представители Заказчика предоставили пояснения, согласно которым применение указанного значения характеристики предусмотрено ГОСТ Р 5108-2013.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пояснениям Уполномоченного органа, Заказчиком приобретаются реагенты для анализатора гематологического автоматического 8у§тех для диагностики 1П «111'0 серии ХК, в варианте исполнения ХК-1000,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имеющийся в пользовании у Заказчика.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данному медицинскому оборудованию, анализатору с РУ № РЗН 2022/17244 от 01.04.2024 г.,имеется Руководство по эксплуатации. В главе 1 «Введение» Руководства по эксплуатации указано: «Работайте с прибором, руководствуясь инструкциями. В случае отклонения от инструкций, приведенных в данном руководстве, надежность результатов не гарантируется». В главе 15 Руководства по эксплуатации «Техническая информация» имеются сведения о наличии коэффициента вариации с показателем НОВ со значением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1.0% или меньше.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доводам жалобы Руководство по эксплуатации к анализаторам серии 8у§тех ХН размещённое на официальном сайте Росздравнадзора, а также сведения об оригинальных реагентах, указанные в п. 5.18 Руководства по эксплуатации по РУ № ФСЗ 2012/12754 от 20.05.2024, не содержат информации о данных коэффициентах вариации и не предусматривает конкретных значений.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статьи 8 Законом о контрактной системе запрещается совершение заказчиками действий, которые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законодательства о контрактной системы в сфере закупок, 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 как минимум два производителя (Письмо от 19.04.2023 г. № ПИ/30510/23).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Воронежского УФАС России Заказчиком не представлено сведений о наличии на рынке минимум двух производителей товара, которые соответствуют в полной степени характеристикам, определенным в описании объекта закупки, в связи с чем Комиссия Воронежского УФАС России полагает доводы жалобы 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Воронежского УФАС России приходит к выводу о нарушении Заказчиком положений статьи 8, пункта 1 части 1 статьи 33 Закона о контрактной системе при формировании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Вышеуказанное нарушение содержит признаки состава и события административного правонарушения, предусмотренного частью 4.1 статьи 7.30 Кодекса об административных правонарушениях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Материалами дела установлено, что БУЗ ВО «ВОКБ № 1» было принято решение 15.01.2025 г. об отмене электронного аукциона на поставку медицинских изделий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Воронежского УФАС России приняла решение не выдать предписание об устранении нарушений.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Комиссия Воронежского УФАС России, руководствуясь статьями 99, 106 Закона о контрактной системе,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7" w:val="left"/>
        </w:tabs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«Региональный реабилитационный центр» на действия БУЗ ВО «ВОКБ № 1» и Министерства по регулированию контрактной системы в сфере закупок Воронежской области при проведении электронного аукциона на поставку медицинских изделий (номер извещения: 0131200001024015993)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и Уполномоченного органа нарушение ст.8, п. 1 ч. 1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электронный аукцион отменен, предписание об устранении выявленного нарушения не выдавать.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4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Воронежского УФАС России для рассмотрения вопроса о привлечении виновных должностных лиц к административной ответственности.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4" w:right="536" w:bottom="1100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235" distL="0" distR="0" simplePos="0" relativeHeight="125829382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114300</wp:posOffset>
                </wp:positionV>
                <wp:extent cx="182880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75pt;margin-top:9.pt;width:144.pt;height:19.699999999999999pt;z-index:-125829371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4150" distB="0" distL="0" distR="1789430" simplePos="0" relativeHeight="125829384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184150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586740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5000000000002pt;margin-top:46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275590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1.84999999999999pt;margin-top:21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235" distL="0" distR="0" simplePos="0" relativeHeight="125829385" behindDoc="0" locked="0" layoutInCell="1" allowOverlap="1">
                <wp:simplePos x="0" y="0"/>
                <wp:positionH relativeFrom="page">
                  <wp:posOffset>5860415</wp:posOffset>
                </wp:positionH>
                <wp:positionV relativeFrom="paragraph">
                  <wp:posOffset>114300</wp:posOffset>
                </wp:positionV>
                <wp:extent cx="132905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1.44999999999999pt;margin-top:9.pt;width:104.65000000000001pt;height:19.699999999999999pt;z-index:-125829368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Рощупкина Юлия Вениаминовна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00А071А2СОС9С6ПАО4925784АЕ0Е89В54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17.11.2023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09.02.2025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2" w:bottom="313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3695" distL="0" distR="0" simplePos="0" relativeHeight="125829387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88900</wp:posOffset>
                </wp:positionV>
                <wp:extent cx="129540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75pt;margin-top:7.pt;width:102.pt;height:19.900000000000002pt;z-index:-125829366;mso-wrap-distance-left:0;mso-wrap-distance-top:7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9430" simplePos="0" relativeHeight="125829389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158750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563880</wp:posOffset>
                </wp:positionV>
                <wp:extent cx="127698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45000000000002pt;margin-top:44.399999999999999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250190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1.84999999999999pt;margin-top:19.69999999999999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3695" distL="0" distR="0" simplePos="0" relativeHeight="125829390" behindDoc="0" locked="0" layoutInCell="1" allowOverlap="1">
                <wp:simplePos x="0" y="0"/>
                <wp:positionH relativeFrom="page">
                  <wp:posOffset>5777865</wp:posOffset>
                </wp:positionH>
                <wp:positionV relativeFrom="paragraph">
                  <wp:posOffset>88900</wp:posOffset>
                </wp:positionV>
                <wp:extent cx="1405255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М.С. Сороколетов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4.94999999999999pt;margin-top:7.pt;width:110.65000000000001pt;height:19.900000000000002pt;z-index:-125829363;mso-wrap-distance-left:0;mso-wrap-distance-top:7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М.С. Сороколетов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2620010</wp:posOffset>
            </wp:positionH>
            <wp:positionV relativeFrom="paragraph">
              <wp:posOffset>496570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935355</wp:posOffset>
                </wp:positionV>
                <wp:extent cx="127698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40000000000001pt;margin-top:73.650000000000006pt;width:100.5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624840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3B3B3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1.80000000000001pt;margin-top:49.200000000000003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3B3B3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Сороколетов Михаил Сергеевич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008А9В1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В8В2600900283Р7090146СЗЕВ2Е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16.01.2024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10.04.2025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74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У.А. Апанащик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Апанащик Ульяна Алексеевна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00985Е83190016343177А7525ЕЗС53С100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2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709930</wp:posOffset>
              </wp:positionH>
              <wp:positionV relativeFrom="page">
                <wp:posOffset>10058400</wp:posOffset>
              </wp:positionV>
              <wp:extent cx="5702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.899999999999999pt;margin-top:792.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F"/>
      <w:sz w:val="19"/>
      <w:szCs w:val="19"/>
      <w:u w:val="none"/>
    </w:rPr>
  </w:style>
  <w:style w:type="character" w:customStyle="1" w:styleId="CharStyle7">
    <w:name w:val="Заголовок №2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smallCaps w:val="0"/>
      <w:strike w:val="0"/>
      <w:color w:val="6578A4"/>
      <w:sz w:val="20"/>
      <w:szCs w:val="2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8">
    <w:name w:val="Подпись к картинке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 w:line="26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F"/>
      <w:sz w:val="19"/>
      <w:szCs w:val="19"/>
      <w:u w:val="none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  <w:ind w:left="1860"/>
    </w:pPr>
    <w:rPr>
      <w:b w:val="0"/>
      <w:bCs w:val="0"/>
      <w:i w:val="0"/>
      <w:iCs w:val="0"/>
      <w:smallCaps w:val="0"/>
      <w:strike w:val="0"/>
      <w:color w:val="6578A4"/>
      <w:sz w:val="20"/>
      <w:szCs w:val="2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1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7">
    <w:name w:val="Подпись к картинке"/>
    <w:basedOn w:val="Normal"/>
    <w:link w:val="CharStyle2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Приморского УФАС России от 04.06.2024 по делу N 025/10/18.1-541/2024Нарушение: п. п. 18, 21 ст. 39.11 ЗК РФ.Решение: Признать жалобу обоснованной; предписание не выдавать; передать материалы дела должностному лицу для решения вопроса о возбуждении дела об административном правонарушении.</dc:title>
  <dc:subject/>
  <dc:creator/>
  <cp:keywords/>
</cp:coreProperties>
</file>