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966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792480" distL="114300" distR="132715" simplePos="0" relativeHeight="125829379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628650</wp:posOffset>
                </wp:positionV>
                <wp:extent cx="2578735" cy="18529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852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30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180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00000000000001pt;margin-top:49.5pt;width:203.05000000000001pt;height:145.90000000000001pt;z-index:-125829374;mso-wrap-distance-left:9.pt;mso-wrap-distance-top:48.5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30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180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728345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0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17500" distB="0" distL="114300" distR="114300" simplePos="0" relativeHeight="125829382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9259570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д.23А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«АКТАНИКА»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105064, г. Москва, вн. тер. гор.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Муниципальный округ Басманный, ул.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Земляной Вал, д.9, офис 4054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 Ханты-Мансийского автономного округа-Югры «Нижневартовский онкологический диспансер»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628615, ХМАО — Югра, г. Нижневартовск, ул.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Спортивная, д. 9, К.А.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Казенное учреждение Ханты-Мансийского автономного округа-Югры «Центр лекарственного мониторинга»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628400, ХМАО — Югра, г. Сургут, пр-кт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Набережный, 41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086/06/23-136/2025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21.01.2025</w:t>
        <w:tab/>
        <w:t>г. Ханты-Мансийск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24.01.2025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Тимиргалиев В.А. - Заместитель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Ядыкова М.Р. - Главный специалист-эксперт отдела контроля закупок Управления;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Мухаева У.Р. - Эксперт отдела контроля закупок Управления.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Заявителя - посредством видеоконференц-связи Адоньева Е.А. по доверенности №б/н от 17.01.2025;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Заказчика - отсутствовали, уведомлены надлежащим образом;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Уполномоченного органа - отсутствовали, уведомлены надлежащим образом,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«АКТАНИКА» (ИНН:9709074626) от 16.01.2025г. № 407/25 на действия Заказчика — Бюджетное учреждение Ханты-Мансийского автономного округа-Югры «Нижневартовский онкологический диспансер», Уполномоченного органа — Казенное учрежде</w:t>
        <w:softHyphen/>
        <w:t>ние Ханты-Мансийского автономного округа-Югры «Центр лекарственного мониторинга», при проведении электронного аукциона, предметом которого является Поставка медицинского изделия одноразового использования (Насос инфузионный эластомерный) для отделения противоопухоле</w:t>
        <w:softHyphen/>
        <w:t>вой лекарственной терапии с дневным стационаром на 2025 год (извещение №0387200009124008564) и в результате осуществления внеплановой проверки в соответствии с пунктом 1 части 15 статьи 99 Федерального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ООО «АКТАНИКА» (ИНН:9709074626) от 16.01.2025г. № 407/25 на действия Заказчика — Бюджетное учреждение Ханты-Мансийского автономного округа-Югры «Нижневартовский онкологический диспансер», Уполномоченного органа — Казенное учреждение Ханты-Мансийского автономного округа-Югры «Центр лекарственного мониторинга», при проведении электронного аукциона, предметом которого является Поставка медицинского изделия одноразового использования (Насос инфузионный эластомерный) для отделения противоопухолевой лекарственной терапии с дневным стационаром на 2025 год (извещение №0387200009124008564).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Уникальные характеристики в Описании объекта закупки ограничивают возможность участия в аукционе с товарами других производителей, что противоречит нормам закона «О контрактной системе».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первого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подпунктам 1 и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65" w:val="left"/>
        </w:tabs>
        <w:bidi w:val="0"/>
        <w:spacing w:before="0" w:after="240" w:line="240" w:lineRule="auto"/>
        <w:ind w:left="0" w:right="0" w:firstLine="720"/>
        <w:jc w:val="both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957" w:right="534" w:bottom="1263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— Правила КТРУ)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3" w:val="left"/>
        </w:tabs>
        <w:bidi w:val="0"/>
        <w:spacing w:before="0" w:after="0" w:line="271" w:lineRule="auto"/>
        <w:ind w:left="0" w:right="0" w:firstLine="720"/>
        <w:jc w:val="both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10" w:right="584" w:bottom="603" w:left="1111" w:header="682" w:footer="17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^ 616 "Об установлении запрета на допуск промышленных товаров, происходящих 2025-490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^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^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6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в описании объекта закупки установлено следующее.</w:t>
      </w:r>
    </w:p>
    <w:tbl>
      <w:tblPr>
        <w:tblOverlap w:val="never"/>
        <w:jc w:val="center"/>
        <w:tblLayout w:type="fixed"/>
      </w:tblPr>
      <w:tblGrid>
        <w:gridCol w:w="398"/>
        <w:gridCol w:w="739"/>
        <w:gridCol w:w="504"/>
        <w:gridCol w:w="274"/>
        <w:gridCol w:w="1152"/>
        <w:gridCol w:w="2482"/>
        <w:gridCol w:w="610"/>
        <w:gridCol w:w="1344"/>
        <w:gridCol w:w="514"/>
        <w:gridCol w:w="475"/>
        <w:gridCol w:w="1718"/>
      </w:tblGrid>
      <w:tr>
        <w:trPr>
          <w:trHeight w:val="22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 ование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КТР У/ ОКП Д2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 п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Характеристики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Коли честв о товар а (объе м работ ы, услуг 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Един ица изме рени 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Обоснование включение дополнительной информации и сведений о товаре, работе, услуге</w:t>
            </w:r>
          </w:p>
        </w:tc>
      </w:tr>
      <w:tr>
        <w:trPr>
          <w:trHeight w:val="14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 е характеристи 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Едини ца измере ния характ еристи 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Инструкция по заполнению характеристик в заявке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11</w:t>
            </w:r>
          </w:p>
        </w:tc>
      </w:tr>
      <w:tr>
        <w:trPr>
          <w:trHeight w:val="10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Насос инфузио нный эластоме 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32.50 .50.1 90</w:t>
              <w:softHyphen/>
              <w:t>0000 2770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Характеристики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Описание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Соединение устройств, которое обеспечивает непрерывную и/или прерывистую подкожную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98"/>
        <w:gridCol w:w="739"/>
        <w:gridCol w:w="504"/>
        <w:gridCol w:w="274"/>
        <w:gridCol w:w="1152"/>
        <w:gridCol w:w="2482"/>
        <w:gridCol w:w="610"/>
        <w:gridCol w:w="1344"/>
        <w:gridCol w:w="514"/>
        <w:gridCol w:w="475"/>
        <w:gridCol w:w="1718"/>
      </w:tblGrid>
      <w:tr>
        <w:trPr>
          <w:trHeight w:val="60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инфузию предписанного медикаментозного раствора пациенту посредством нагрузкок со стороны эластичного материала.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Обычно состоит из эластомерной камеры (ее различные размеры предопределяют поток и объем), которая заполняется заданным раствором с помощью специального наполняющего устройства и/или шприца с целью создания давления, трубки, фильтра улавливания твердых частиц и воздуха, ограничителя потока и соединителя на дистальном конце для подключения к устройству доступа к пациенту.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Соединение может использоваться для общей инфузии, ввода антибиотиков, химиотерапии или устранения боли в учреждениях здравоохранения или на дому. Это изделие разового использования.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Болюс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Регулировани е скорости инфузии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Защита от УФ-лучей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Наличие фиксирующи х устройств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Объем заполнения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150 и &lt; 249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Кубич еский сантим етр;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 иллил 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Путь введения лекарственно го препарата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Внутривенный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Система блокировки болюса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98"/>
        <w:gridCol w:w="739"/>
        <w:gridCol w:w="504"/>
        <w:gridCol w:w="274"/>
        <w:gridCol w:w="1152"/>
        <w:gridCol w:w="2482"/>
        <w:gridCol w:w="610"/>
        <w:gridCol w:w="1344"/>
        <w:gridCol w:w="514"/>
        <w:gridCol w:w="475"/>
        <w:gridCol w:w="1718"/>
      </w:tblGrid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Скорость инфузии базальная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мл/час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Дополнительные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Номинальный объём заполнения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200 и &lt; 240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8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Обусловлены клинической потребностью заказчика</w:t>
              <w:tab/>
              <w:t>для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качественного оказания медицинской помощи</w:t>
              <w:tab/>
              <w:t>(для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51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непрерывной инфузии лекарственных препаратов внутривенно, внутриартериально, эпидурально</w:t>
              <w:tab/>
              <w:t>или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2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подкожно</w:t>
              <w:tab/>
              <w:t>в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6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соответствии</w:t>
              <w:tab/>
              <w:t>с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конкретным клиническим протоколом</w:t>
            </w:r>
          </w:p>
        </w:tc>
      </w:tr>
      <w:tr>
        <w:trPr>
          <w:trHeight w:val="14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1.1 1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Номинальная длительность инфузии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40 и &lt; 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Час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Корпус помпы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Мягкий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 удобного и комфортного использования пациентом</w:t>
              <w:tab/>
              <w:t>при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длительной инфузии.</w:t>
            </w:r>
          </w:p>
        </w:tc>
      </w:tr>
      <w:tr>
        <w:trPr>
          <w:trHeight w:val="20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Вес помпы без наполнения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&lt; 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</w:t>
              <w:tab/>
              <w:t>снижения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4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нагрузки пациента при</w:t>
              <w:tab/>
              <w:t>длительном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ношении изделия. Меньший</w:t>
              <w:tab/>
              <w:t>вес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материала изделия обеспечивают снижение объёма и затрат</w:t>
              <w:tab/>
              <w:t>при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утилизации.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Эластомерны й баллон внутри корпуса помпы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2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Заполняется раствором лекарственного препарата</w:t>
              <w:tab/>
              <w:t>через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коннектор баллона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Отверстие для наполнения находится на инфузионной линии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 безопасного, быстрого и легкого наполнения насоса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Система блокировки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 прекрашения подачи лекарственного препарата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98"/>
        <w:gridCol w:w="739"/>
        <w:gridCol w:w="504"/>
        <w:gridCol w:w="274"/>
        <w:gridCol w:w="1152"/>
        <w:gridCol w:w="2482"/>
        <w:gridCol w:w="610"/>
        <w:gridCol w:w="1344"/>
        <w:gridCol w:w="514"/>
        <w:gridCol w:w="475"/>
        <w:gridCol w:w="1718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Удлинительна я линия снабжена инфузионным фильтром с размером ячеек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Мкм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6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Позволяет фильтровать раствор, избегая возможного проникновения мелких</w:t>
              <w:tab/>
              <w:t>осколков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6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стекла или любых инородных</w:t>
              <w:tab/>
              <w:t>тел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2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внутрь</w:t>
              <w:tab/>
              <w:t>системы,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удалять возможные пузырьки воздуха</w:t>
            </w:r>
          </w:p>
        </w:tc>
      </w:tr>
      <w:tr>
        <w:trPr>
          <w:trHeight w:val="10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Насос инфузио нный эластоме 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32.50 .50.1 90</w:t>
              <w:softHyphen/>
              <w:t>0000 2770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Характеристики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Описание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Соединение устройств, которое обеспечивает непрерывную и/или прерывистую подкожную инфузию предписанного медикаментозного раствора пациенту посредством нагрузкок со стороны эластичного материала.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Обычно состоит из эластомерной камеры (ее различные размеры предопределяют поток и объем), которая заполняется заданным раствором с помощью специального наполняющего устройства и/или шприца с целью создания давления, трубки, фильтра улавливания твердых частиц и воздуха, ограничителя потока и соединителя на дистальном конце для подключения к устройству доступа к пациенту.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Соединение может использоваться для общей инфузии, ввода антибиотиков, химиотерапии или устранения боли в учреждениях здравоохранения или на дому. Это изделие разового использования.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Болюс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Регулировани е скорости инфузии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Защита от УФ-лучей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98"/>
        <w:gridCol w:w="739"/>
        <w:gridCol w:w="504"/>
        <w:gridCol w:w="274"/>
        <w:gridCol w:w="1152"/>
        <w:gridCol w:w="2482"/>
        <w:gridCol w:w="610"/>
        <w:gridCol w:w="1344"/>
        <w:gridCol w:w="514"/>
        <w:gridCol w:w="475"/>
        <w:gridCol w:w="1718"/>
      </w:tblGrid>
      <w:tr>
        <w:trPr>
          <w:trHeight w:val="10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фиксирующи х устройств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характеристики не может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изменяться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Объем заполнения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150 и &lt; 249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Кубич еский сантим етр;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 иллил 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Путь введения лекарственно го препарата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Внутривенный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Система блокировки болюса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Скорость инфузии базальная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мл/час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Дополнительные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Номинальный объём заполнения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200 и &lt; 240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8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Обусловлены клинической потребностью заказчика</w:t>
              <w:tab/>
              <w:t>для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качественного оказания медицинской помощи</w:t>
              <w:tab/>
              <w:t>(для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51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непрерывной инфузии лекарственных препаратов внутривенно, внутриартериально, эпидурально</w:t>
              <w:tab/>
              <w:t>или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2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подкожно</w:t>
              <w:tab/>
              <w:t>в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6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соответствии</w:t>
              <w:tab/>
              <w:t>с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конкретным клиническим протоколом</w:t>
            </w:r>
          </w:p>
        </w:tc>
      </w:tr>
      <w:tr>
        <w:trPr>
          <w:trHeight w:val="14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Номинальная длительность инфузии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20 и &lt; 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Час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Корпус помпы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Мягкий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 удобного и комфортного использования пациентом</w:t>
              <w:tab/>
              <w:t>при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длительной инфузии.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Вес помпы без наполнения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&lt; 70,0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Грамм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 снижения нагрузки пациента при длительном ношении изделия.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98"/>
        <w:gridCol w:w="739"/>
        <w:gridCol w:w="504"/>
        <w:gridCol w:w="274"/>
        <w:gridCol w:w="1152"/>
        <w:gridCol w:w="2482"/>
        <w:gridCol w:w="610"/>
        <w:gridCol w:w="1344"/>
        <w:gridCol w:w="514"/>
        <w:gridCol w:w="475"/>
        <w:gridCol w:w="1718"/>
      </w:tblGrid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Меньший</w:t>
              <w:tab/>
              <w:t>вес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материала изделия обеспечивают снижение объёма и затрат</w:t>
              <w:tab/>
              <w:t>при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утилизации.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Эластомерны й баллон внутри корпуса помпы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2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Заполняется раствором лекарственного препарата</w:t>
              <w:tab/>
              <w:t>через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коннектор баллона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Отверстие для наполнения находится на инфузионной линии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</w:t>
              <w:tab/>
              <w:t>безопасного,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быстрого и легкого наполнения насоса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Система блокировки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Для прекрашения подачи лекарственного препарата</w:t>
            </w:r>
          </w:p>
        </w:tc>
      </w:tr>
      <w:tr>
        <w:trPr>
          <w:trHeight w:val="20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Удлинительна я линия снабжена инфузионным фильтром с размером ячеек, микрон: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Мкм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6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Позволяет фильтровать раствор, избегая возможного проникновения мелких</w:t>
              <w:tab/>
              <w:t>осколков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6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стекла или любых инородных</w:t>
              <w:tab/>
              <w:t>тел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42" w:val="righ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внутрь</w:t>
              <w:tab/>
              <w:t>системы,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удалять возможные пузырьки воздуха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применена позиция КТРУ 32.50.50.190-00002770 (Насос инфузионный эластомерный) с указанием обязательных характеристик согласно позиции КТРУ, а также установлены характеристики не предусмотренные позицией КТРУ с обоснованием включения дополнительных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характеристики закупаемого товара установлены Заказчиком в соответствии с позицией КТРУ и не противоречит требованиям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 о контрактной системе не обязывает Заказчика при определении характеристик поставляемого товара устанавливать такие характеристики объекта закупки, которые соответствовали бы всем существующим потенциальным участникам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извещение о закупке требования к объекту закупки, которые являются для него значимыми, равно как и норм, обязывающих заказчика устанавливать в этом извещении,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при формировании Описания объекта закупки вправе в необходимой степени детализировать объект закупки, определяя характеристики закупаемого товара, которые будут иметь существенное значение для последующего использования товара в специфике его деятельности и в целях обеспечения эффективного использования бюджетных средств.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Действующее законодательство не накладывает на Заказчика при размещении заказа на поставку товаров обязанность учитывать интересы каждого участника рынка, осуществляющего реализацию товаров данной группы.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на момент размещения заказа у отдельных юридических и физических лиц, занимающихся реализацией товара с заявленными Заказчиком характеристиками, не является нарушением прав и законных интересов таких лиц, а также не является ограничением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описание объекта закупки составлено с учетом потребности заказчика и соответствует требованиям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этого, на участие в электронном аукционе было подано 2 заявки с разными предложенными товарами и регистрационными удостоверениями, обе заявки признаны соответствующими.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доводы Заявителя является необоснованными.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нарушены законодательно установленные требования к надлежащему описа</w:t>
        <w:softHyphen/>
        <w:t>нию предмета закупки — в техническое задание включены требования, не предусмотренные пра</w:t>
        <w:softHyphen/>
        <w:t>вилами КТРУ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Позиции описания объекта закупки с 18 по 44 Заказчиком включены без обоснования их применения, тем самым согласно сведения с сайта Единой информационной системе в сфере за</w:t>
        <w:softHyphen/>
        <w:t>купок отсутствует файл обоснования вышеуказанных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довод Заявителя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ООО «АКТАНИКА» (ИНН:9709074626) от 16.01.2025г. № 407/25 рассмотрена Комиссией Управления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«АКТАНИКА» (ИНН:9709074626) от 16.01.2025г. № 407/25 на действия Заказчика — Бюджетное учреждение Ханты-Мансийского автономного округа-Югры «Нижневартовский онкологический диспансер», Уполномоченного органа — Казенное учреждение Ханты-Мансийского автономного округа-Югры «Центр лекарственного мониторинга», при проведении электронного аукциона, предметом которого является Поставка медицинского изделия одноразового использования (Насос инфузионный эластомерный) для отделения противоопухолевой лекарственной терапии с дневным стационаром на 2025 год (извещение №0387200009124008564) 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2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9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Направить данное решение сторонам и опубликовать на официальном сайте единой информационной системы в сфере закупок ( </w:t>
      </w:r>
      <w:r>
        <w:rPr>
          <w:smallCaps/>
          <w:color w:val="00008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закирк! .доV.^и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701040" distL="114300" distR="114300" simplePos="0" relativeHeight="125829383" behindDoc="0" locked="0" layoutInCell="1" allowOverlap="1">
                <wp:simplePos x="0" y="0"/>
                <wp:positionH relativeFrom="page">
                  <wp:posOffset>5955030</wp:posOffset>
                </wp:positionH>
                <wp:positionV relativeFrom="paragraph">
                  <wp:posOffset>12700</wp:posOffset>
                </wp:positionV>
                <wp:extent cx="1203960" cy="21653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Тимиргалиев В.А.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8.90000000000003pt;margin-top:1.pt;width:94.799999999999997pt;height:17.050000000000001pt;z-index:-125829370;mso-wrap-distance-left:9.pt;mso-wrap-distance-right:9.pt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Тимиргалиев В.А.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01040" distB="0" distL="117475" distR="407035" simplePos="0" relativeHeight="125829385" behindDoc="0" locked="0" layoutInCell="1" allowOverlap="1">
                <wp:simplePos x="0" y="0"/>
                <wp:positionH relativeFrom="page">
                  <wp:posOffset>5958205</wp:posOffset>
                </wp:positionH>
                <wp:positionV relativeFrom="paragraph">
                  <wp:posOffset>713740</wp:posOffset>
                </wp:positionV>
                <wp:extent cx="908050" cy="21653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Ядыкова М.Р.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9.15000000000003pt;margin-top:56.200000000000003pt;width:71.5pt;height:17.050000000000001pt;z-index:-125829368;mso-wrap-distance-left:9.25pt;mso-wrap-distance-top:55.200000000000003pt;mso-wrap-distance-right:32.0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Ядыкова М.Р.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6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Мухаева УР.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</w:t>
      </w:r>
    </w:p>
    <w:sectPr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091" w:right="534" w:bottom="1163" w:left="1103" w:header="663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10018395</wp:posOffset>
              </wp:positionV>
              <wp:extent cx="5727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88.85000000000002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9954260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783.80000000000007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10018395</wp:posOffset>
              </wp:positionV>
              <wp:extent cx="5727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850000000000001pt;margin-top:788.85000000000002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8"/>
      <w:szCs w:val="1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Друго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Основной текст (3)_"/>
    <w:basedOn w:val="DefaultParagraphFont"/>
    <w:link w:val="Style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8"/>
      <w:szCs w:val="1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ind w:left="5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Другое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Основной текст (3)"/>
    <w:basedOn w:val="Normal"/>
    <w:link w:val="CharStyle22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footer" Target="footer4.xml"/></Relationships>
</file>