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3704590</wp:posOffset>
            </wp:positionH>
            <wp:positionV relativeFrom="paragraph">
              <wp:posOffset>12700</wp:posOffset>
            </wp:positionV>
            <wp:extent cx="560705" cy="66421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0705" cy="664210"/>
                    </a:xfrm>
                    <a:prstGeom prst="rect"/>
                  </pic:spPr>
                </pic:pic>
              </a:graphicData>
            </a:graphic>
          </wp:anchor>
        </w:drawing>
      </w:r>
      <w:r>
        <mc:AlternateContent>
          <mc:Choice Requires="wps">
            <w:drawing>
              <wp:anchor distT="0" distB="554355" distL="114300" distR="114300" simplePos="0" relativeHeight="125829379" behindDoc="0" locked="0" layoutInCell="1" allowOverlap="1">
                <wp:simplePos x="0" y="0"/>
                <wp:positionH relativeFrom="page">
                  <wp:posOffset>705485</wp:posOffset>
                </wp:positionH>
                <wp:positionV relativeFrom="paragraph">
                  <wp:posOffset>118745</wp:posOffset>
                </wp:positionV>
                <wp:extent cx="2609215" cy="2124710"/>
                <wp:wrapSquare wrapText="bothSides"/>
                <wp:docPr id="3" name="Shape 3"/>
                <a:graphic xmlns:a="http://schemas.openxmlformats.org/drawingml/2006/main">
                  <a:graphicData uri="http://schemas.microsoft.com/office/word/2010/wordprocessingShape">
                    <wps:wsp>
                      <wps:cNvSpPr txBox="1"/>
                      <wps:spPr>
                        <a:xfrm>
                          <a:ext cx="2609215" cy="2124710"/>
                        </a:xfrm>
                        <a:prstGeom prst="rect"/>
                        <a:noFill/>
                      </wps:spPr>
                      <wps:txbx>
                        <w:txbxContent>
                          <w:p>
                            <w:pPr>
                              <w:pStyle w:val="Style2"/>
                              <w:keepNext w:val="0"/>
                              <w:keepLines w:val="0"/>
                              <w:widowControl w:val="0"/>
                              <w:shd w:val="clear" w:color="auto" w:fill="auto"/>
                              <w:bidi w:val="0"/>
                              <w:spacing w:before="0" w:after="140" w:line="300" w:lineRule="auto"/>
                              <w:ind w:left="0" w:right="0" w:firstLine="0"/>
                              <w:jc w:val="center"/>
                              <w:rPr>
                                <w:sz w:val="17"/>
                                <w:szCs w:val="17"/>
                              </w:rPr>
                            </w:pPr>
                            <w:r>
                              <w:rPr>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71"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тел./факс: (8212) 21-41-29</w:t>
                              <w:br/>
                              <w:t>е-таП: 1о11@Га8.§оу.ги</w:t>
                            </w:r>
                          </w:p>
                          <w:p>
                            <w:pPr>
                              <w:pStyle w:val="Style7"/>
                              <w:keepNext w:val="0"/>
                              <w:keepLines w:val="0"/>
                              <w:widowControl w:val="0"/>
                              <w:shd w:val="clear" w:color="auto" w:fill="auto"/>
                              <w:tabs>
                                <w:tab w:pos="1843" w:val="left"/>
                              </w:tabs>
                              <w:bidi w:val="0"/>
                              <w:spacing w:before="0" w:line="240" w:lineRule="auto"/>
                              <w:ind w:left="0" w:right="0" w:firstLine="0"/>
                              <w:jc w:val="center"/>
                            </w:pPr>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3.01.2025</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ОД/359/25</w:t>
                            </w:r>
                          </w:p>
                          <w:p>
                            <w:pPr>
                              <w:pStyle w:val="Style2"/>
                              <w:keepNext w:val="0"/>
                              <w:keepLines w:val="0"/>
                              <w:widowControl w:val="0"/>
                              <w:shd w:val="clear" w:color="auto" w:fill="auto"/>
                              <w:bidi w:val="0"/>
                              <w:spacing w:before="0" w:after="220" w:line="271" w:lineRule="auto"/>
                              <w:ind w:left="0" w:right="0" w:firstLine="0"/>
                              <w:jc w:val="center"/>
                            </w:pPr>
                            <w:r>
                              <w:rPr>
                                <w:b w:val="0"/>
                                <w:bCs w:val="0"/>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550000000000004pt;margin-top:9.3499999999999996pt;width:205.45000000000002pt;height:167.30000000000001pt;z-index:-125829374;mso-wrap-distance-left:9.pt;mso-wrap-distance-right:9.pt;mso-wrap-distance-bottom:43.649999999999999pt;mso-position-horizontal-relative:page" filled="f" stroked="f">
                <v:textbox inset="0,0,0,0">
                  <w:txbxContent>
                    <w:p>
                      <w:pPr>
                        <w:pStyle w:val="Style2"/>
                        <w:keepNext w:val="0"/>
                        <w:keepLines w:val="0"/>
                        <w:widowControl w:val="0"/>
                        <w:shd w:val="clear" w:color="auto" w:fill="auto"/>
                        <w:bidi w:val="0"/>
                        <w:spacing w:before="0" w:after="140" w:line="300" w:lineRule="auto"/>
                        <w:ind w:left="0" w:right="0" w:firstLine="0"/>
                        <w:jc w:val="center"/>
                        <w:rPr>
                          <w:sz w:val="17"/>
                          <w:szCs w:val="17"/>
                        </w:rPr>
                      </w:pPr>
                      <w:r>
                        <w:rPr>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71"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тел./факс: (8212) 21-41-29</w:t>
                        <w:br/>
                        <w:t>е-таП: 1о11@Га8.§оу.ги</w:t>
                      </w:r>
                    </w:p>
                    <w:p>
                      <w:pPr>
                        <w:pStyle w:val="Style7"/>
                        <w:keepNext w:val="0"/>
                        <w:keepLines w:val="0"/>
                        <w:widowControl w:val="0"/>
                        <w:shd w:val="clear" w:color="auto" w:fill="auto"/>
                        <w:tabs>
                          <w:tab w:pos="1843" w:val="left"/>
                        </w:tabs>
                        <w:bidi w:val="0"/>
                        <w:spacing w:before="0" w:line="240" w:lineRule="auto"/>
                        <w:ind w:left="0" w:right="0" w:firstLine="0"/>
                        <w:jc w:val="center"/>
                      </w:pPr>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3.01.2025</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ОД/359/25</w:t>
                      </w:r>
                    </w:p>
                    <w:p>
                      <w:pPr>
                        <w:pStyle w:val="Style2"/>
                        <w:keepNext w:val="0"/>
                        <w:keepLines w:val="0"/>
                        <w:widowControl w:val="0"/>
                        <w:shd w:val="clear" w:color="auto" w:fill="auto"/>
                        <w:bidi w:val="0"/>
                        <w:spacing w:before="0" w:after="220" w:line="271" w:lineRule="auto"/>
                        <w:ind w:left="0" w:right="0" w:firstLine="0"/>
                        <w:jc w:val="center"/>
                      </w:pPr>
                      <w:r>
                        <w:rPr>
                          <w:b w:val="0"/>
                          <w:bCs w:val="0"/>
                          <w:spacing w:val="0"/>
                          <w:w w:val="100"/>
                          <w:position w:val="0"/>
                          <w:shd w:val="clear" w:color="auto" w:fill="auto"/>
                          <w:lang w:val="ru-RU" w:eastAsia="ru-RU" w:bidi="ru-RU"/>
                        </w:rPr>
                        <w:t xml:space="preserve">На №  от</w:t>
                      </w:r>
                    </w:p>
                  </w:txbxContent>
                </v:textbox>
                <w10:wrap type="square" anchorx="page"/>
              </v:shape>
            </w:pict>
          </mc:Fallback>
        </mc:AlternateContent>
      </w:r>
      <w:r>
        <mc:AlternateContent>
          <mc:Choice Requires="wps">
            <w:drawing>
              <wp:anchor distT="2444750" distB="0" distL="144780" distR="2019300" simplePos="0" relativeHeight="125829381" behindDoc="0" locked="0" layoutInCell="1" allowOverlap="1">
                <wp:simplePos x="0" y="0"/>
                <wp:positionH relativeFrom="page">
                  <wp:posOffset>735965</wp:posOffset>
                </wp:positionH>
                <wp:positionV relativeFrom="paragraph">
                  <wp:posOffset>2563495</wp:posOffset>
                </wp:positionV>
                <wp:extent cx="673735" cy="234950"/>
                <wp:wrapSquare wrapText="bothSides"/>
                <wp:docPr id="5" name="Shape 5"/>
                <a:graphic xmlns:a="http://schemas.openxmlformats.org/drawingml/2006/main">
                  <a:graphicData uri="http://schemas.microsoft.com/office/word/2010/wordprocessingShape">
                    <wps:wsp>
                      <wps:cNvSpPr txBox="1"/>
                      <wps:spPr>
                        <a:xfrm>
                          <a:ext cx="673735" cy="2349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wps:txbx>
                      <wps:bodyPr wrap="none" lIns="0" tIns="0" rIns="0" bIns="0">
                        <a:noAutoFit/>
                      </wps:bodyPr>
                    </wps:wsp>
                  </a:graphicData>
                </a:graphic>
              </wp:anchor>
            </w:drawing>
          </mc:Choice>
          <mc:Fallback>
            <w:pict>
              <v:shape id="_x0000_s1031" type="#_x0000_t202" style="position:absolute;margin-left:57.950000000000003pt;margin-top:201.84999999999999pt;width:53.050000000000004pt;height:18.5pt;z-index:-125829372;mso-wrap-distance-left:11.4pt;mso-wrap-distance-top:192.5pt;mso-wrap-distance-right:15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v:textbox>
                <w10:wrap type="square" anchorx="page"/>
              </v:shape>
            </w:pict>
          </mc:Fallback>
        </mc:AlternateContent>
      </w:r>
    </w:p>
    <w:p>
      <w:pPr>
        <w:pStyle w:val="Style2"/>
        <w:keepNext w:val="0"/>
        <w:keepLines w:val="0"/>
        <w:widowControl w:val="0"/>
        <w:shd w:val="clear" w:color="auto" w:fill="auto"/>
        <w:bidi w:val="0"/>
        <w:spacing w:before="0" w:after="0" w:line="288" w:lineRule="auto"/>
        <w:ind w:left="0" w:right="1660" w:firstLine="0"/>
        <w:jc w:val="right"/>
        <w:rPr>
          <w:sz w:val="17"/>
          <w:szCs w:val="17"/>
        </w:rPr>
      </w:pPr>
      <w:r>
        <w:rPr>
          <w:spacing w:val="0"/>
          <w:w w:val="100"/>
          <w:position w:val="0"/>
          <w:sz w:val="17"/>
          <w:szCs w:val="17"/>
          <w:shd w:val="clear" w:color="auto" w:fill="auto"/>
          <w:lang w:val="ru-RU" w:eastAsia="ru-RU" w:bidi="ru-RU"/>
        </w:rPr>
        <w:t>ФЕДЕРАЛЬНОЙ</w:t>
      </w:r>
    </w:p>
    <w:p>
      <w:pPr>
        <w:pStyle w:val="Style2"/>
        <w:keepNext w:val="0"/>
        <w:keepLines w:val="0"/>
        <w:widowControl w:val="0"/>
        <w:shd w:val="clear" w:color="auto" w:fill="auto"/>
        <w:bidi w:val="0"/>
        <w:spacing w:before="0" w:after="140" w:line="288" w:lineRule="auto"/>
        <w:ind w:left="380" w:right="920" w:firstLine="0"/>
        <w:jc w:val="right"/>
        <w:rPr>
          <w:sz w:val="17"/>
          <w:szCs w:val="17"/>
        </w:rPr>
      </w:pPr>
      <w:r>
        <w:rPr>
          <w:spacing w:val="0"/>
          <w:w w:val="100"/>
          <w:position w:val="0"/>
          <w:sz w:val="17"/>
          <w:szCs w:val="17"/>
          <w:shd w:val="clear" w:color="auto" w:fill="auto"/>
          <w:lang w:val="ru-RU" w:eastAsia="ru-RU" w:bidi="ru-RU"/>
        </w:rPr>
        <w:t>АНТИМОНОПОЛЬНОЙ СЛУЖБА</w:t>
      </w:r>
    </w:p>
    <w:p>
      <w:pPr>
        <w:pStyle w:val="Style2"/>
        <w:keepNext w:val="0"/>
        <w:keepLines w:val="0"/>
        <w:widowControl w:val="0"/>
        <w:shd w:val="clear" w:color="auto" w:fill="auto"/>
        <w:bidi w:val="0"/>
        <w:spacing w:before="0" w:after="0"/>
        <w:ind w:left="380" w:right="920" w:firstLine="0"/>
        <w:jc w:val="right"/>
      </w:pPr>
      <w:r>
        <w:rPr>
          <w:spacing w:val="0"/>
          <w:w w:val="100"/>
          <w:position w:val="0"/>
          <w:shd w:val="clear" w:color="auto" w:fill="auto"/>
          <w:lang w:val="ru-RU" w:eastAsia="ru-RU" w:bidi="ru-RU"/>
        </w:rPr>
        <w:t>Федеральной антимонопольной службалбн Коми Республиками</w:t>
      </w:r>
    </w:p>
    <w:p>
      <w:pPr>
        <w:pStyle w:val="Style2"/>
        <w:keepNext w:val="0"/>
        <w:keepLines w:val="0"/>
        <w:widowControl w:val="0"/>
        <w:shd w:val="clear" w:color="auto" w:fill="auto"/>
        <w:bidi w:val="0"/>
        <w:spacing w:before="0" w:after="260"/>
        <w:ind w:left="2540" w:right="0" w:firstLine="0"/>
        <w:jc w:val="left"/>
      </w:pPr>
      <w:r>
        <w:rPr>
          <w:spacing w:val="0"/>
          <w:w w:val="100"/>
          <w:position w:val="0"/>
          <w:shd w:val="clear" w:color="auto" w:fill="auto"/>
          <w:lang w:val="ru-RU" w:eastAsia="ru-RU" w:bidi="ru-RU"/>
        </w:rPr>
        <w:t>ВЕСЬКОДЛАНШ</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е-таП: 1о11@Га8.§оу.ги</w:t>
      </w:r>
    </w:p>
    <w:p>
      <w:pPr>
        <w:pStyle w:val="Style11"/>
        <w:keepNext w:val="0"/>
        <w:keepLines w:val="0"/>
        <w:widowControl w:val="0"/>
        <w:shd w:val="clear" w:color="auto" w:fill="auto"/>
        <w:bidi w:val="0"/>
        <w:spacing w:before="0" w:after="0" w:line="240" w:lineRule="auto"/>
        <w:ind w:left="0" w:right="0" w:firstLine="720"/>
        <w:jc w:val="left"/>
      </w:pPr>
      <w:r>
        <w:rPr>
          <w:b/>
          <w:bCs/>
          <w:color w:val="000000"/>
          <w:spacing w:val="0"/>
          <w:w w:val="100"/>
          <w:position w:val="0"/>
          <w:shd w:val="clear" w:color="auto" w:fill="auto"/>
          <w:lang w:val="ru-RU" w:eastAsia="ru-RU" w:bidi="ru-RU"/>
        </w:rPr>
        <w:t>Заявитель:</w:t>
      </w:r>
    </w:p>
    <w:p>
      <w:pPr>
        <w:pStyle w:val="Style11"/>
        <w:keepNext w:val="0"/>
        <w:keepLines w:val="0"/>
        <w:widowControl w:val="0"/>
        <w:shd w:val="clear" w:color="auto" w:fill="auto"/>
        <w:bidi w:val="0"/>
        <w:spacing w:before="0" w:after="0" w:line="240" w:lineRule="auto"/>
        <w:ind w:left="720" w:right="0" w:firstLine="0"/>
        <w:jc w:val="left"/>
      </w:pPr>
      <w:r>
        <w:rPr>
          <w:b/>
          <w:bCs/>
          <w:color w:val="000000"/>
          <w:spacing w:val="0"/>
          <w:w w:val="100"/>
          <w:position w:val="0"/>
          <w:shd w:val="clear" w:color="auto" w:fill="auto"/>
          <w:lang w:val="ru-RU" w:eastAsia="ru-RU" w:bidi="ru-RU"/>
        </w:rPr>
        <w:t>Общество с ограниченной ответственностью</w:t>
      </w:r>
    </w:p>
    <w:p>
      <w:pPr>
        <w:pStyle w:val="Style11"/>
        <w:keepNext w:val="0"/>
        <w:keepLines w:val="0"/>
        <w:widowControl w:val="0"/>
        <w:shd w:val="clear" w:color="auto" w:fill="auto"/>
        <w:bidi w:val="0"/>
        <w:spacing w:before="0" w:after="260" w:line="240" w:lineRule="auto"/>
        <w:ind w:left="0" w:right="0" w:firstLine="720"/>
        <w:jc w:val="left"/>
      </w:pPr>
      <w:r>
        <w:rPr>
          <w:b/>
          <w:bCs/>
          <w:color w:val="000000"/>
          <w:spacing w:val="0"/>
          <w:w w:val="100"/>
          <w:position w:val="0"/>
          <w:shd w:val="clear" w:color="auto" w:fill="auto"/>
          <w:lang w:val="ru-RU" w:eastAsia="ru-RU" w:bidi="ru-RU"/>
        </w:rPr>
        <w:t>«Строительно-Отделочная фирма «БаРо»</w:t>
      </w:r>
    </w:p>
    <w:p>
      <w:pPr>
        <w:pStyle w:val="Style11"/>
        <w:keepNext w:val="0"/>
        <w:keepLines w:val="0"/>
        <w:widowControl w:val="0"/>
        <w:shd w:val="clear" w:color="auto" w:fill="auto"/>
        <w:bidi w:val="0"/>
        <w:spacing w:before="0" w:after="260" w:line="240" w:lineRule="auto"/>
        <w:ind w:left="0" w:right="0" w:firstLine="720"/>
        <w:jc w:val="left"/>
      </w:pPr>
      <w:r>
        <w:rPr>
          <w:color w:val="000000"/>
          <w:spacing w:val="0"/>
          <w:w w:val="100"/>
          <w:position w:val="0"/>
          <w:shd w:val="clear" w:color="auto" w:fill="auto"/>
          <w:lang w:val="ru-RU" w:eastAsia="ru-RU" w:bidi="ru-RU"/>
        </w:rPr>
        <w:t>через Единую информационную систему</w:t>
      </w:r>
    </w:p>
    <w:p>
      <w:pPr>
        <w:pStyle w:val="Style11"/>
        <w:keepNext w:val="0"/>
        <w:keepLines w:val="0"/>
        <w:widowControl w:val="0"/>
        <w:shd w:val="clear" w:color="auto" w:fill="auto"/>
        <w:bidi w:val="0"/>
        <w:spacing w:before="0" w:after="0" w:line="240" w:lineRule="auto"/>
        <w:ind w:left="1660" w:right="0" w:firstLine="0"/>
        <w:jc w:val="left"/>
      </w:pPr>
      <w:r>
        <w:rPr>
          <w:b/>
          <w:bCs/>
          <w:color w:val="000000"/>
          <w:spacing w:val="0"/>
          <w:w w:val="100"/>
          <w:position w:val="0"/>
          <w:shd w:val="clear" w:color="auto" w:fill="auto"/>
          <w:lang w:val="ru-RU" w:eastAsia="ru-RU" w:bidi="ru-RU"/>
        </w:rPr>
        <w:t>Заказчик:</w:t>
      </w:r>
    </w:p>
    <w:p>
      <w:pPr>
        <w:pStyle w:val="Style11"/>
        <w:keepNext w:val="0"/>
        <w:keepLines w:val="0"/>
        <w:widowControl w:val="0"/>
        <w:shd w:val="clear" w:color="auto" w:fill="auto"/>
        <w:bidi w:val="0"/>
        <w:spacing w:before="0" w:after="0" w:line="240" w:lineRule="auto"/>
        <w:ind w:left="1660" w:right="0" w:firstLine="0"/>
        <w:jc w:val="left"/>
      </w:pPr>
      <w:r>
        <w:rPr>
          <w:b/>
          <w:bCs/>
          <w:color w:val="000000"/>
          <w:spacing w:val="0"/>
          <w:w w:val="100"/>
          <w:position w:val="0"/>
          <w:shd w:val="clear" w:color="auto" w:fill="auto"/>
          <w:lang w:val="ru-RU" w:eastAsia="ru-RU" w:bidi="ru-RU"/>
        </w:rPr>
        <w:t>Государственное бюджетное учреждение здравоохранения</w:t>
      </w:r>
    </w:p>
    <w:p>
      <w:pPr>
        <w:pStyle w:val="Style11"/>
        <w:keepNext w:val="0"/>
        <w:keepLines w:val="0"/>
        <w:widowControl w:val="0"/>
        <w:shd w:val="clear" w:color="auto" w:fill="auto"/>
        <w:bidi w:val="0"/>
        <w:spacing w:before="0" w:after="260" w:line="240" w:lineRule="auto"/>
        <w:ind w:left="1660" w:right="0" w:firstLine="0"/>
        <w:jc w:val="left"/>
      </w:pPr>
      <w:r>
        <w:rPr>
          <w:b/>
          <w:bCs/>
          <w:color w:val="000000"/>
          <w:spacing w:val="0"/>
          <w:w w:val="100"/>
          <w:position w:val="0"/>
          <w:shd w:val="clear" w:color="auto" w:fill="auto"/>
          <w:lang w:val="ru-RU" w:eastAsia="ru-RU" w:bidi="ru-RU"/>
        </w:rPr>
        <w:t>Республики Коми «Коми республиканский клинический перинатальный центр»</w:t>
      </w:r>
    </w:p>
    <w:p>
      <w:pPr>
        <w:pStyle w:val="Style11"/>
        <w:keepNext w:val="0"/>
        <w:keepLines w:val="0"/>
        <w:widowControl w:val="0"/>
        <w:shd w:val="clear" w:color="auto" w:fill="auto"/>
        <w:bidi w:val="0"/>
        <w:spacing w:before="0" w:after="260" w:line="240" w:lineRule="auto"/>
        <w:ind w:left="166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11"/>
        <w:keepNext w:val="0"/>
        <w:keepLines w:val="0"/>
        <w:widowControl w:val="0"/>
        <w:shd w:val="clear" w:color="auto" w:fill="auto"/>
        <w:bidi w:val="0"/>
        <w:spacing w:before="0" w:after="260" w:line="240" w:lineRule="auto"/>
        <w:ind w:left="1660" w:right="0" w:firstLine="0"/>
        <w:jc w:val="left"/>
      </w:pPr>
      <w:r>
        <w:rPr>
          <w:b/>
          <w:bCs/>
          <w:color w:val="000000"/>
          <w:spacing w:val="0"/>
          <w:w w:val="100"/>
          <w:position w:val="0"/>
          <w:shd w:val="clear" w:color="auto" w:fill="auto"/>
          <w:lang w:val="ru-RU" w:eastAsia="ru-RU" w:bidi="ru-RU"/>
        </w:rPr>
        <w:t>Общество с ограниченной ответственностью «РТС-Тендер»</w:t>
      </w:r>
    </w:p>
    <w:p>
      <w:pPr>
        <w:pStyle w:val="Style11"/>
        <w:keepNext w:val="0"/>
        <w:keepLines w:val="0"/>
        <w:widowControl w:val="0"/>
        <w:shd w:val="clear" w:color="auto" w:fill="auto"/>
        <w:bidi w:val="0"/>
        <w:spacing w:before="0" w:after="660" w:line="240" w:lineRule="auto"/>
        <w:ind w:left="166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17"/>
        <w:keepNext/>
        <w:keepLines/>
        <w:widowControl w:val="0"/>
        <w:shd w:val="clear" w:color="auto" w:fill="auto"/>
        <w:bidi w:val="0"/>
        <w:spacing w:before="0" w:after="0" w:line="226" w:lineRule="auto"/>
        <w:ind w:left="0" w:right="0" w:firstLine="420"/>
        <w:jc w:val="left"/>
        <w:rPr>
          <w:sz w:val="32"/>
          <w:szCs w:val="32"/>
        </w:rPr>
      </w:pPr>
      <w:bookmarkStart w:id="0" w:name="bookmark0"/>
      <w:r>
        <w:rPr>
          <w:b/>
          <w:bCs/>
          <w:color w:val="000000"/>
          <w:spacing w:val="0"/>
          <w:w w:val="100"/>
          <w:position w:val="0"/>
          <w:sz w:val="32"/>
          <w:szCs w:val="32"/>
          <w:shd w:val="clear" w:color="auto" w:fill="auto"/>
          <w:lang w:val="ru-RU" w:eastAsia="ru-RU" w:bidi="ru-RU"/>
        </w:rPr>
        <w:t>РЕШЕНИЕ</w:t>
      </w:r>
      <w:bookmarkEnd w:id="0"/>
    </w:p>
    <w:p>
      <w:pPr>
        <w:pStyle w:val="Style11"/>
        <w:keepNext w:val="0"/>
        <w:keepLines w:val="0"/>
        <w:widowControl w:val="0"/>
        <w:shd w:val="clear" w:color="auto" w:fill="auto"/>
        <w:bidi w:val="0"/>
        <w:spacing w:before="0" w:after="260" w:line="226" w:lineRule="auto"/>
        <w:ind w:left="0" w:right="0" w:firstLine="0"/>
        <w:jc w:val="left"/>
      </w:pPr>
      <w:r>
        <w:rPr>
          <w:color w:val="000000"/>
          <w:spacing w:val="0"/>
          <w:w w:val="100"/>
          <w:position w:val="0"/>
          <w:shd w:val="clear" w:color="auto" w:fill="auto"/>
          <w:lang w:val="ru-RU" w:eastAsia="ru-RU" w:bidi="ru-RU"/>
        </w:rPr>
        <w:t>по жалобе № 011/06/42-25/2025</w:t>
      </w:r>
    </w:p>
    <w:p>
      <w:pPr>
        <w:pStyle w:val="Style11"/>
        <w:keepNext w:val="0"/>
        <w:keepLines w:val="0"/>
        <w:widowControl w:val="0"/>
        <w:shd w:val="clear" w:color="auto" w:fill="auto"/>
        <w:bidi w:val="0"/>
        <w:spacing w:before="0" w:after="260" w:line="240" w:lineRule="auto"/>
        <w:ind w:left="0" w:right="0" w:hanging="3340"/>
        <w:jc w:val="left"/>
      </w:pPr>
      <w:r>
        <mc:AlternateContent>
          <mc:Choice Requires="wps">
            <w:drawing>
              <wp:anchor distT="0" distB="0" distL="114300" distR="114300" simplePos="0" relativeHeight="125829383" behindDoc="0" locked="0" layoutInCell="1" allowOverlap="1">
                <wp:simplePos x="0" y="0"/>
                <wp:positionH relativeFrom="page">
                  <wp:posOffset>6213475</wp:posOffset>
                </wp:positionH>
                <wp:positionV relativeFrom="paragraph">
                  <wp:posOffset>12700</wp:posOffset>
                </wp:positionV>
                <wp:extent cx="951230" cy="234950"/>
                <wp:wrapSquare wrapText="bothSides"/>
                <wp:docPr id="7" name="Shape 7"/>
                <a:graphic xmlns:a="http://schemas.openxmlformats.org/drawingml/2006/main">
                  <a:graphicData uri="http://schemas.microsoft.com/office/word/2010/wordprocessingShape">
                    <wps:wsp>
                      <wps:cNvSpPr txBox="1"/>
                      <wps:spPr>
                        <a:xfrm>
                          <a:ext cx="951230" cy="2349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wps:txbx>
                      <wps:bodyPr wrap="none" lIns="0" tIns="0" rIns="0" bIns="0">
                        <a:noAutoFit/>
                      </wps:bodyPr>
                    </wps:wsp>
                  </a:graphicData>
                </a:graphic>
              </wp:anchor>
            </w:drawing>
          </mc:Choice>
          <mc:Fallback>
            <w:pict>
              <v:shape id="_x0000_s1033" type="#_x0000_t202" style="position:absolute;margin-left:489.25pt;margin-top:1.pt;width:74.900000000000006pt;height:18.5pt;z-index:-125829370;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v:textbox>
                <w10:wrap type="square" anchorx="page"/>
              </v:shape>
            </w:pict>
          </mc:Fallback>
        </mc:AlternateContent>
      </w:r>
      <w:r>
        <w:rPr>
          <w:color w:val="000000"/>
          <w:spacing w:val="0"/>
          <w:w w:val="100"/>
          <w:position w:val="0"/>
          <w:shd w:val="clear" w:color="auto" w:fill="auto"/>
          <w:lang w:val="ru-RU" w:eastAsia="ru-RU" w:bidi="ru-RU"/>
        </w:rPr>
        <w:t>22 января 2025 года</w:t>
      </w:r>
    </w:p>
    <w:p>
      <w:pPr>
        <w:pStyle w:val="Style11"/>
        <w:keepNext w:val="0"/>
        <w:keepLines w:val="0"/>
        <w:widowControl w:val="0"/>
        <w:shd w:val="clear" w:color="auto" w:fill="auto"/>
        <w:bidi w:val="0"/>
        <w:spacing w:before="0" w:after="0" w:line="240" w:lineRule="auto"/>
        <w:ind w:left="-3340" w:right="0" w:firstLine="720"/>
        <w:jc w:val="left"/>
        <w:sectPr>
          <w:footerReference w:type="default" r:id="rId7"/>
          <w:footnotePr>
            <w:pos w:val="pageBottom"/>
            <w:numFmt w:val="decimal"/>
            <w:numRestart w:val="continuous"/>
          </w:footnotePr>
          <w:pgSz w:w="11900" w:h="16840"/>
          <w:pgMar w:top="423" w:right="723" w:bottom="1317" w:left="4461" w:header="0" w:footer="3" w:gutter="0"/>
          <w:pgNumType w:start="1"/>
          <w:cols w:space="720"/>
          <w:noEndnote/>
          <w:rtlGutter w:val="0"/>
          <w:docGrid w:linePitch="360"/>
        </w:sectPr>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Коми по контролю в сфере закупок, созданная приказом Коми УФАС России от 03.11.2022 № 156 «О создании комиссии по контролю в сфере закупок» в составе: Дейберт О.И. - заместителя руководителя управления - начальника отдела контроля закупок, председателя Комиссии; Мокиенко А.А. - специалиста-эксперта отдела контроля закупок управления, члена Комиссии; Растегаевой А.Д. - специалиста-эксперта отдела контроля закупок управления, члена Комиссии (далее - Комиссия Коми УФАС России), рассмотрев жалобу общества с ограниченной ответственностью «Строительно-Отделочная Фирма «БаРо» (360000, Кабардино-Балкарская Республика, г. Нальчик, ул. Тургенева, д. 68; ОГРН: 1090725000145, ИНН: 0725000174, КПП: 072501001) (далее - ООО «СОФ «БаРо»)</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423" w:right="0" w:bottom="1216" w:left="0" w:header="0" w:footer="3" w:gutter="0"/>
          <w:cols w:space="720"/>
          <w:noEndnote/>
          <w:rtlGutter w:val="0"/>
          <w:docGrid w:linePitch="360"/>
        </w:sectPr>
      </w:pPr>
    </w:p>
    <w:p>
      <w:pPr>
        <w:widowControl w:val="0"/>
        <w:spacing w:after="450" w:line="1" w:lineRule="exact"/>
      </w:pPr>
      <w:r>
        <w:drawing>
          <wp:anchor distT="0" distB="0" distL="0" distR="0" simplePos="0" relativeHeight="62914692" behindDoc="1" locked="0" layoutInCell="1" allowOverlap="1">
            <wp:simplePos x="0" y="0"/>
            <wp:positionH relativeFrom="page">
              <wp:posOffset>717550</wp:posOffset>
            </wp:positionH>
            <wp:positionV relativeFrom="paragraph">
              <wp:posOffset>12700</wp:posOffset>
            </wp:positionV>
            <wp:extent cx="1517650" cy="286385"/>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8"/>
                    <a:stretch/>
                  </pic:blipFill>
                  <pic:spPr>
                    <a:xfrm>
                      <a:ext cx="1517650" cy="28638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423" w:right="618" w:bottom="1216" w:left="1111"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от 15.01.2025 (вх. от 16.01.2025 № 338/25) на действия заказчика - государственного бюджетного учреждения здравоохранения Республики Коми «Коми республиканский клинический перинатальный центр» (167000, Республика Коми, г. Сыктывкар, ул. Пушкина, д. 114/К.4; ОГРН: 1021100510419, ИНН: 1101487382, КПП: 110101001) (далее - ГБУЗ РК «КРКПЦ») при осуществлении закупки путем проведения электронного аукциона «Поставка шприцев», извещение № 0307200016624000424 (далее - жалоба),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Никитинской С.С. - представителя ГБУЗ РК «КРКПЦ» по доверенности от 21.01.2025,</w:t>
      </w:r>
    </w:p>
    <w:p>
      <w:pPr>
        <w:pStyle w:val="Style11"/>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Коми с использованием Единой информационной системы в сфере закупок поступила жалоба ООО «СОФ «БаРо» от 15.01.2025 (вх. от 16.01.2025 № 338/25) на действия заказчика - ГБУЗ РК «КРКПЦ» при осуществлении закупки путем проведения электронного аукциона «Поставка шприцев», извещение № 0307200016624000424 (далее - закупка, электронный аукцион).</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связи с чем, принята Коми УФАС России к рассмотрению.</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ООО «СОФ «БаРо», ГБУЗ РК «КРКПЦ», общество с ограниченной ответственностью «РТС-Тендер» надлежащим образом о времени и месте рассмотрения жалобы извещены посредством электронной почты.</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2 статьи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w:t>
        <w:softHyphen/>
        <w:t>конференц-связи при наличии в контрольном органе в сфере закупок технической возможности осуществления видео-конференц-связи.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ООО «СОФ «БаРо» в составе жалобы заявлено ходатайство о рассмотрении жалобы в дистанционном режиме.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Письмом Коми УФАС России от 16.01.2025 № ОД/212/25 ходатайство ООО «СОФ «БаРо» удовлетворено, ссылка на видеоконференц-связь по жалобе направлена Коми УФАС России в составе письма от 16.01.2025 № ОД/212/25 «О принятии жалобы к рассмотрению, проведении внеплановой проверки, представлении письменной информации и копий документов».</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Несмотря на заявленное ходатайство, ООО «СОФ «БаРо» явку на заседание Комиссии Коми УФАС России по рассмотрению жалобы не обеспечило.</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Отсутствие представителя ООО «СОФ «БаРо», извещенного надлежащим образом о дате, месте и времени рассмотрения жалобы, не препятствует рассмотрению жалобы по существу.</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Жалоба рассмотрена Комиссией Коми УФАС России в составе текущей явки.</w:t>
      </w:r>
    </w:p>
    <w:p>
      <w:pPr>
        <w:pStyle w:val="Style11"/>
        <w:keepNext w:val="0"/>
        <w:keepLines w:val="0"/>
        <w:widowControl w:val="0"/>
        <w:shd w:val="clear" w:color="auto" w:fill="auto"/>
        <w:bidi w:val="0"/>
        <w:spacing w:before="0" w:after="140" w:line="240" w:lineRule="auto"/>
        <w:ind w:left="0" w:right="0" w:firstLine="740"/>
        <w:jc w:val="both"/>
      </w:pPr>
      <w:r>
        <w:rPr>
          <w:color w:val="000000"/>
          <w:spacing w:val="0"/>
          <w:w w:val="100"/>
          <w:position w:val="0"/>
          <w:shd w:val="clear" w:color="auto" w:fill="auto"/>
          <w:lang w:val="ru-RU" w:eastAsia="ru-RU" w:bidi="ru-RU"/>
        </w:rPr>
        <w:t>ГБУЗ РК «КРКПЦ» письмом от 21.01.2025 № 01-07/141 (вх. от 21.01.2025 № 503- ЭП/25, 505-ЭП/25) представлен отзыв на жалобу и документы, необходимые для рассмотрения жалобы.</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ООО «СОФ «БаРо» обжалованы положения извещения об электронном аукционе.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считает, что заказчиком при оформлении извещения об осуществлении закупки были допущены нарушения требований законодательства Российской Федерации о контрактной системе в сфере закупок, а именно положения Постановления Правительства Российской Федерации от 19.04.2021 № 620 «О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(далее - Постановление Правительства РФ от 19.04.2021 № 620), которые заказчик обязан применять при закупке товаров, являющихся медицинскими изделиями.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указано заявителем, в извещении о закупке в позициях 1, 2, 3-10 по медицинским изделиям указаны коды позиций каталога товаров, работ, услуг (далее - КТРУ), которые соответствуют различным кодам номенклатурной классификации медицинских изделий (далее - НКМИ), что не соответствует положениям Постановления Правительства Российской Федерации от 19.04.2021 № 620.</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Дополнительно, ООО «СОФ «БаРо» в жалобе указывает, что по всем позициям, указанным в извещении о проведении электронного аукциона применены дополнительные характеристики закупаемых товаров: «Номинальный наружный диаметр игры, мм» и «Номинальная длина трубки иглы, мм».</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Между тем, заявитель считает, что для установленных дополнительных характеристик в извещении об осуществлении закупки отсутствует надлежащее обоснование их применения.</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указано заявителем в жалобе, извещение об осуществлении закупки не содержит информации о том, каким образом размер иглы (диаметр/длина) отражается на методе постановки инъекций.</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Коми УФАС России в ходе рассмотрения жалобы, проведения внеплановой проверки осуществления закупки в соответствии с пунктом 1 части 15 статьи 99 Закона о контрактной системе, изучив представленные материалы, изучив пояснения ГБУЗ РК «КРКПЦ», заслушав представителей сторон, пришла к нижеследующим выводам.</w:t>
      </w:r>
    </w:p>
    <w:p>
      <w:pPr>
        <w:pStyle w:val="Style11"/>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Заказчиком осуществления закупки путем проведения электронного аукциона явилось ГБУЗ РК «КРКПЦ».</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Объект закупки - «</w:t>
      </w:r>
      <w:r>
        <w:rPr>
          <w:color w:val="000000"/>
          <w:spacing w:val="0"/>
          <w:w w:val="100"/>
          <w:position w:val="0"/>
          <w:shd w:val="clear" w:color="auto" w:fill="auto"/>
          <w:lang w:val="ru-RU" w:eastAsia="ru-RU" w:bidi="ru-RU"/>
        </w:rPr>
        <w:t>Поставка шприцов</w:t>
      </w:r>
      <w:r>
        <w:rPr>
          <w:color w:val="000000"/>
          <w:spacing w:val="0"/>
          <w:w w:val="100"/>
          <w:position w:val="0"/>
          <w:shd w:val="clear" w:color="auto" w:fill="auto"/>
          <w:lang w:val="ru-RU" w:eastAsia="ru-RU" w:bidi="ru-RU"/>
        </w:rPr>
        <w:t>».</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составила 1 000 000,00 руб.</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 о проведении закупки размещено на официальном сайте Единой информационной системы в сфере закупок \\\\\\. /акиркгдоу.ги (далее - ЕИС) - 27.12.2024, изменение извещения о проведении закупки размещено в ЕИС - 28.12.2024.</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и время окончания срока подачи заявок - 16.01.2025 08:00.</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- 16.01.2025.</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подведения определения поставщика (подрядчика, исполнителя) - 20.01.2025.</w:t>
      </w:r>
    </w:p>
    <w:p>
      <w:pPr>
        <w:pStyle w:val="Style11"/>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В силу статьи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части 3 статьи 7 Закона о контрактной системе информация, </w:t>
      </w:r>
      <w:r>
        <w:rPr>
          <w:color w:val="000000"/>
          <w:spacing w:val="0"/>
          <w:w w:val="100"/>
          <w:position w:val="0"/>
          <w:shd w:val="clear" w:color="auto" w:fill="auto"/>
          <w:lang w:val="ru-RU" w:eastAsia="ru-RU" w:bidi="ru-RU"/>
        </w:rPr>
        <w:t>предусмотренная настоящим Федеральным законом и размещенная в единой информационной системе, должна быть полной и достоверной.</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частей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1 статьи 12 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Одним из конкурентных способов определения поставщиков (подрядчиков, исполнителей) является, согласно части 2 статьи 24 Закона о контрактной системе, в том числе аукцион в электронной форме.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1, пункту 1 части 2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 об осуществлении закупки, если иное не предусмотрено настоящим Федеральным законом, должно содержать, в том числе, описание объекта закупки в соответствии со статьей 33 настоящего Федерального закона.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пунктов 1, 2 части 1, части 2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w:t>
      </w:r>
      <w:r>
        <w:rPr>
          <w:color w:val="000000"/>
          <w:spacing w:val="0"/>
          <w:w w:val="100"/>
          <w:position w:val="0"/>
          <w:shd w:val="clear" w:color="auto" w:fill="auto"/>
          <w:lang w:val="ru-RU" w:eastAsia="ru-RU" w:bidi="ru-RU"/>
        </w:rPr>
        <w:t>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Проанализировав описание объекта закупки, Комиссией Коми УФАС России установлено, что заказчиком закупаются следующие товары:</w:t>
      </w:r>
    </w:p>
    <w:p>
      <w:pPr>
        <w:pStyle w:val="Style11"/>
        <w:keepNext w:val="0"/>
        <w:keepLines w:val="0"/>
        <w:widowControl w:val="0"/>
        <w:numPr>
          <w:ilvl w:val="0"/>
          <w:numId w:val="1"/>
        </w:numPr>
        <w:shd w:val="clear" w:color="auto" w:fill="auto"/>
        <w:tabs>
          <w:tab w:pos="101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Шприц инсулиновый/неубираемая игла, код позиции КТРУ - 32.50.13.110-03210;</w:t>
      </w:r>
    </w:p>
    <w:p>
      <w:pPr>
        <w:pStyle w:val="Style11"/>
        <w:keepNext w:val="0"/>
        <w:keepLines w:val="0"/>
        <w:widowControl w:val="0"/>
        <w:numPr>
          <w:ilvl w:val="0"/>
          <w:numId w:val="1"/>
        </w:numPr>
        <w:shd w:val="clear" w:color="auto" w:fill="auto"/>
        <w:tabs>
          <w:tab w:pos="101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Шприц туберкулиновый/для аллергологических проб/в комплекте с иглой, стандартный, код позиции КТРУ - 32.50.13.110-00005193;</w:t>
      </w:r>
    </w:p>
    <w:p>
      <w:pPr>
        <w:pStyle w:val="Style11"/>
        <w:keepNext w:val="0"/>
        <w:keepLines w:val="0"/>
        <w:widowControl w:val="0"/>
        <w:numPr>
          <w:ilvl w:val="0"/>
          <w:numId w:val="1"/>
        </w:numPr>
        <w:shd w:val="clear" w:color="auto" w:fill="auto"/>
        <w:tabs>
          <w:tab w:pos="104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Шприц общего назначения, код позиции КТРУ - 32.50.13.110-00004565;</w:t>
      </w:r>
    </w:p>
    <w:p>
      <w:pPr>
        <w:pStyle w:val="Style11"/>
        <w:keepNext w:val="0"/>
        <w:keepLines w:val="0"/>
        <w:widowControl w:val="0"/>
        <w:numPr>
          <w:ilvl w:val="0"/>
          <w:numId w:val="1"/>
        </w:numPr>
        <w:shd w:val="clear" w:color="auto" w:fill="auto"/>
        <w:tabs>
          <w:tab w:pos="105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Шприц общего назначения, код позиции КТРУ - 32.50.13.110-00004569;</w:t>
      </w:r>
    </w:p>
    <w:p>
      <w:pPr>
        <w:pStyle w:val="Style11"/>
        <w:keepNext w:val="0"/>
        <w:keepLines w:val="0"/>
        <w:widowControl w:val="0"/>
        <w:numPr>
          <w:ilvl w:val="0"/>
          <w:numId w:val="1"/>
        </w:numPr>
        <w:shd w:val="clear" w:color="auto" w:fill="auto"/>
        <w:tabs>
          <w:tab w:pos="106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Шприц общего назначения, код позиции КТРУ - 32.50.13.110-00004568;</w:t>
      </w:r>
    </w:p>
    <w:p>
      <w:pPr>
        <w:pStyle w:val="Style11"/>
        <w:keepNext w:val="0"/>
        <w:keepLines w:val="0"/>
        <w:widowControl w:val="0"/>
        <w:numPr>
          <w:ilvl w:val="0"/>
          <w:numId w:val="1"/>
        </w:numPr>
        <w:shd w:val="clear" w:color="auto" w:fill="auto"/>
        <w:tabs>
          <w:tab w:pos="106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Шприц общего назначения, код позиции КТРУ - 32.50.13.110-00004571;</w:t>
      </w:r>
    </w:p>
    <w:p>
      <w:pPr>
        <w:pStyle w:val="Style11"/>
        <w:keepNext w:val="0"/>
        <w:keepLines w:val="0"/>
        <w:widowControl w:val="0"/>
        <w:numPr>
          <w:ilvl w:val="0"/>
          <w:numId w:val="1"/>
        </w:numPr>
        <w:shd w:val="clear" w:color="auto" w:fill="auto"/>
        <w:tabs>
          <w:tab w:pos="106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Шприц общего назначения, код позиции КТРУ - 32.50.13.110-00004572;</w:t>
      </w:r>
    </w:p>
    <w:p>
      <w:pPr>
        <w:pStyle w:val="Style11"/>
        <w:keepNext w:val="0"/>
        <w:keepLines w:val="0"/>
        <w:widowControl w:val="0"/>
        <w:numPr>
          <w:ilvl w:val="0"/>
          <w:numId w:val="1"/>
        </w:numPr>
        <w:shd w:val="clear" w:color="auto" w:fill="auto"/>
        <w:tabs>
          <w:tab w:pos="106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Шприц общего назначения, код позиции КТРУ - 32.50.13.110-00004574;</w:t>
      </w:r>
    </w:p>
    <w:p>
      <w:pPr>
        <w:pStyle w:val="Style11"/>
        <w:keepNext w:val="0"/>
        <w:keepLines w:val="0"/>
        <w:widowControl w:val="0"/>
        <w:numPr>
          <w:ilvl w:val="0"/>
          <w:numId w:val="1"/>
        </w:numPr>
        <w:shd w:val="clear" w:color="auto" w:fill="auto"/>
        <w:tabs>
          <w:tab w:pos="106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Шприц общего назначения, код позиции КТРУ - 32.50.13.110-00004568;</w:t>
      </w:r>
    </w:p>
    <w:p>
      <w:pPr>
        <w:pStyle w:val="Style11"/>
        <w:keepNext w:val="0"/>
        <w:keepLines w:val="0"/>
        <w:widowControl w:val="0"/>
        <w:numPr>
          <w:ilvl w:val="0"/>
          <w:numId w:val="1"/>
        </w:numPr>
        <w:shd w:val="clear" w:color="auto" w:fill="auto"/>
        <w:tabs>
          <w:tab w:pos="117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Шприц общего назначения, код позиции КТРУ - 32.50.13.110-00004572.</w:t>
      </w:r>
    </w:p>
    <w:p>
      <w:pPr>
        <w:pStyle w:val="Style11"/>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2.1. </w:t>
      </w:r>
      <w:r>
        <w:rPr>
          <w:color w:val="000000"/>
          <w:spacing w:val="0"/>
          <w:w w:val="100"/>
          <w:position w:val="0"/>
          <w:shd w:val="clear" w:color="auto" w:fill="auto"/>
          <w:lang w:val="ru-RU" w:eastAsia="ru-RU" w:bidi="ru-RU"/>
        </w:rPr>
        <w:t>Согласно пункту 2 части 29 статьи 34 Закона о контрактной системе Правительство Российской Федерации вправе определить требования к формированию лотов при осуществлении закупок отдельных видов товаров, работ, услуг.</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1 Постановления Правительства РФ от 19.04.2021 № 620 установлено, что 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Российской Федерации, при условии, что значение начальной (максимальной) цены контракта (цены лота) превышает:</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600 тыс. рублей - для заказчиков, у которых объем денежных средств, направленных на закупку медицинских изделий в предшествующем году, составил менее 50 млн. рублей;</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млн. рублей - для заказчиков, у которых объем денежных средств, направленных на закупку медицинских изделий в предшествующем году, составил от 50 млн. рублей до 100 млн. рублей;</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1,5 млн. рублей - для заказчиков, у которых объем денежных средств, направленных на закупку медицинских изделий в предшествующем году, составил более 100 млн. рублей.</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частям 1, 2 статьи 38 Федерального закона от 21.11.2011 № 323 «Об основах охраны здоровья граждан Российской Федерации»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Номенклатурная классификация медицинских изделий утверждается уполномоченным федеральным органом исполнительной власти.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Приложению № 1 к приказу Министерства здравоохранения Российской Федерации от 06.06.2012 № 4н «Об утверждении номенклатурной классификации медицинских изделий» НКМИ содержит числовое обозначение вида медицинского изделия - идентификационный уникальный номер записи &lt;*&gt;, наименование вида медицинского изделия, описание вида медицинского изделия, содержащее соответствующие </w:t>
      </w:r>
      <w:r>
        <w:rPr>
          <w:color w:val="000000"/>
          <w:spacing w:val="0"/>
          <w:w w:val="100"/>
          <w:position w:val="0"/>
          <w:shd w:val="clear" w:color="auto" w:fill="auto"/>
          <w:lang w:val="ru-RU" w:eastAsia="ru-RU" w:bidi="ru-RU"/>
        </w:rPr>
        <w:t>классификационные признаки вида медицинского изделия, указываемые в зависимости от назначения медицинского изделия.</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&lt;*&gt; Фиксируется начальное значение 100000 и для каждой последующей записи значение увеличивается на 10.</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Классификация медицинских изделий формируется в электронном виде по группам и подгруппам медицинских изделий и размещается на официальном сайте Федеральной службы по надзору в сфере здравоохранения в информационно-телекоммуникационной сети «Интернет».</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согласно НКМИ, каждый отдельный вид медицинского изделия обладает уникальным идентификационным номером записи в формате шестизначного кода, при этом номенклатурная классификация также содержит классификации видов медицинских изделий по группам и подгруппам, при этом положениями Постановления Правительства РФ от 19.04.2021 № 620 императивно указано, что предметом одного контракта (одного лота) не могут быть медицинские изделия различных видов.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сам приказ содержит только указание на группы и подгруппы медицинских изделий, в то время как сведения о конкретных видах медицинских размещены на официальном сайте Росздравнадзора.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Таким образом, при закупке медицинских изделий в соответствии с требованиями, предусмотренными Постановлением Правительства РФ от 19.04.2021 №620, медицинские изделия </w:t>
      </w:r>
      <w:r>
        <w:rPr>
          <w:i/>
          <w:iCs/>
          <w:color w:val="000000"/>
          <w:spacing w:val="0"/>
          <w:w w:val="100"/>
          <w:position w:val="0"/>
          <w:shd w:val="clear" w:color="auto" w:fill="auto"/>
          <w:lang w:val="ru-RU" w:eastAsia="ru-RU" w:bidi="ru-RU"/>
        </w:rPr>
        <w:t>должны принадлежать одному конкретному виду медицинских изделий</w:t>
      </w:r>
      <w:r>
        <w:rPr>
          <w:color w:val="000000"/>
          <w:spacing w:val="0"/>
          <w:w w:val="100"/>
          <w:position w:val="0"/>
          <w:shd w:val="clear" w:color="auto" w:fill="auto"/>
          <w:lang w:val="ru-RU" w:eastAsia="ru-RU" w:bidi="ru-RU"/>
        </w:rPr>
        <w:t>, сведения о которых содержатся на официальном сайте Росздравнадзора.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Объектом закупки № 0307200016624000424 являются шприцы.</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согласно сведениям из реестра медицинских изделий, размещенного на официальном сайте Росздравнадзора информационно-телекоммуникационной сети «Интернет» товары закупаемый заказчиком имеют следующие коды медицинских изделий:</w:t>
      </w:r>
    </w:p>
    <w:p>
      <w:pPr>
        <w:pStyle w:val="Style11"/>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 позиции 1 - «Шприц инсулиновый/неубираемая игла», НКМИ - 212430;</w:t>
      </w:r>
    </w:p>
    <w:p>
      <w:pPr>
        <w:pStyle w:val="Style11"/>
        <w:keepNext w:val="0"/>
        <w:keepLines w:val="0"/>
        <w:widowControl w:val="0"/>
        <w:numPr>
          <w:ilvl w:val="0"/>
          <w:numId w:val="3"/>
        </w:numPr>
        <w:shd w:val="clear" w:color="auto" w:fill="auto"/>
        <w:tabs>
          <w:tab w:pos="9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 позиции 2 - «Шприц туберкулиновый/для аллергологических проб/в комплекте с иглой, стандартный», НКМИ - 349150;</w:t>
      </w:r>
    </w:p>
    <w:p>
      <w:pPr>
        <w:pStyle w:val="Style11"/>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 позициям 3 - 10 - «Шприц общего назначения», НКМИ - 349160, 260600.</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заказчиком в извещении об осуществлении закупки объединены в один лот медицинские изделия различных видов НКМИ.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письменным пояснениям ГБУЗ РК «КРКПЦ» от 21.01.2025 № 01-07/141 (вх. от 21.01.2025 № 503-ЭП/25, 505-ЭП/25) объем денежных средств учреждения, направленных на закупку медицинских изделий в предшествующем 2023 году составил 76 644 720,85 рублей, что подтверждается оборотно-сальдовой ведомостью п счетам от 01.01.2024 (за период с 01.01.2023 по 31.12.2023).</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Извещением о проведении электронного аукциона для закупки № 030200016624000424 в редакциях от 27.12.2024 и от 28.12.2024 указана начальная (максимальная) цена контракта 1 000 000,00 рублей.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вышеизложенного, закупка № 03307200016624000424 не подпадает под действие требований Постановления Правительства РФ от 19.04.2021 № 620, так как начальная (максимальная) цена контракта составляет 1 000 000,00 рублей и не превышает его, а объем денежных средств ГБУЗ РК «КРКПЦ», направленных на закупку медицинских изделий в предшествующем 2023 году, составил более 50 млн. рублей.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вышеуказанный довод жалобы является необоснованным.</w:t>
      </w:r>
    </w:p>
    <w:p>
      <w:pPr>
        <w:pStyle w:val="Style11"/>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2.2. </w:t>
      </w:r>
      <w:r>
        <w:rPr>
          <w:color w:val="000000"/>
          <w:spacing w:val="0"/>
          <w:w w:val="100"/>
          <w:position w:val="0"/>
          <w:shd w:val="clear" w:color="auto" w:fill="auto"/>
          <w:lang w:val="ru-RU" w:eastAsia="ru-RU" w:bidi="ru-RU"/>
        </w:rPr>
        <w:t xml:space="preserve">В силу части 6 статьи 23 Закона о контрактной системе порядок формирования и </w:t>
      </w:r>
      <w:r>
        <w:rPr>
          <w:color w:val="000000"/>
          <w:spacing w:val="0"/>
          <w:w w:val="100"/>
          <w:position w:val="0"/>
          <w:shd w:val="clear" w:color="auto" w:fill="auto"/>
          <w:lang w:val="ru-RU" w:eastAsia="ru-RU" w:bidi="ru-RU"/>
        </w:rPr>
        <w:t>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 Правила использования каталога товаров, работ, услуг для обеспечения государственных и муниципальных нужд (далее - Правила).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подпунктам «а», «б» пункта 2, пунктам 4, 5, 6, 7, 8 Правил каталог используется заказчиками в целях:</w:t>
      </w:r>
    </w:p>
    <w:p>
      <w:pPr>
        <w:pStyle w:val="Style11"/>
        <w:keepNext w:val="0"/>
        <w:keepLines w:val="0"/>
        <w:widowControl w:val="0"/>
        <w:numPr>
          <w:ilvl w:val="0"/>
          <w:numId w:val="5"/>
        </w:numPr>
        <w:shd w:val="clear" w:color="auto" w:fill="auto"/>
        <w:tabs>
          <w:tab w:pos="1111" w:val="left"/>
        </w:tabs>
        <w:bidi w:val="0"/>
        <w:spacing w:before="0" w:after="0" w:line="240" w:lineRule="auto"/>
        <w:ind w:left="740" w:right="0" w:firstLine="0"/>
        <w:jc w:val="both"/>
      </w:pPr>
      <w:r>
        <w:rPr>
          <w:color w:val="000000"/>
          <w:spacing w:val="0"/>
          <w:w w:val="100"/>
          <w:position w:val="0"/>
          <w:shd w:val="clear" w:color="auto" w:fill="auto"/>
          <w:lang w:val="ru-RU" w:eastAsia="ru-RU" w:bidi="ru-RU"/>
        </w:rPr>
        <w:t>обеспечения применения информации о товарах, работах, услугах, в том числе в: извещении об осуществлении закупки;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приглашении принять участие в определении поставщика (подрядчика, исполнителя) (далее - приглашение);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документации о закупке (в случае если Федеральным законом предусмотрена документация о закупке);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контракте;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реестре контрактов, заключенных заказчиками;</w:t>
      </w:r>
    </w:p>
    <w:p>
      <w:pPr>
        <w:pStyle w:val="Style11"/>
        <w:keepNext w:val="0"/>
        <w:keepLines w:val="0"/>
        <w:widowControl w:val="0"/>
        <w:numPr>
          <w:ilvl w:val="0"/>
          <w:numId w:val="5"/>
        </w:numPr>
        <w:shd w:val="clear" w:color="auto" w:fill="auto"/>
        <w:tabs>
          <w:tab w:pos="110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Заказчики обязаны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1"/>
        <w:keepNext w:val="0"/>
        <w:keepLines w:val="0"/>
        <w:widowControl w:val="0"/>
        <w:numPr>
          <w:ilvl w:val="0"/>
          <w:numId w:val="7"/>
        </w:numPr>
        <w:shd w:val="clear" w:color="auto" w:fill="auto"/>
        <w:tabs>
          <w:tab w:pos="110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товара, работы, услуги;</w:t>
      </w:r>
    </w:p>
    <w:p>
      <w:pPr>
        <w:pStyle w:val="Style11"/>
        <w:keepNext w:val="0"/>
        <w:keepLines w:val="0"/>
        <w:widowControl w:val="0"/>
        <w:numPr>
          <w:ilvl w:val="0"/>
          <w:numId w:val="7"/>
        </w:numPr>
        <w:shd w:val="clear" w:color="auto" w:fill="auto"/>
        <w:tabs>
          <w:tab w:pos="110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1"/>
        <w:keepNext w:val="0"/>
        <w:keepLines w:val="0"/>
        <w:widowControl w:val="0"/>
        <w:numPr>
          <w:ilvl w:val="0"/>
          <w:numId w:val="7"/>
        </w:numPr>
        <w:shd w:val="clear" w:color="auto" w:fill="auto"/>
        <w:tabs>
          <w:tab w:pos="112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случае осуществления закупки товара, работы, услуги, в отношении которых в </w:t>
      </w:r>
      <w:r>
        <w:rPr>
          <w:color w:val="000000"/>
          <w:spacing w:val="0"/>
          <w:w w:val="100"/>
          <w:position w:val="0"/>
          <w:shd w:val="clear" w:color="auto" w:fill="auto"/>
          <w:lang w:val="ru-RU" w:eastAsia="ru-RU" w:bidi="ru-RU"/>
        </w:rPr>
        <w:t>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p>
    <w:p>
      <w:pPr>
        <w:pStyle w:val="Style11"/>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pPr>
        <w:pStyle w:val="Style11"/>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При включении в состав одного лота (одного товара, работы, услуги) нескольких товаров, работ, услуг, на которые в каталоге имеются подлежащие применению позиции каталога и на которые в каталоге отсутствуют соответствующие позиции, заказчик руководствуется требованиями настоящих Правил в отношении каждого такого товара, работы услуги, на которые в каталоге имеется подлежащая применению позиция.</w:t>
      </w:r>
    </w:p>
    <w:p>
      <w:pPr>
        <w:pStyle w:val="Style11"/>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Согласно доводам заявителя, по всем позициям описания объекта закупки применены дополнительные характеристики товара независимо от указанного в КТРУ, такие как «Номинальный наружный диаметр иглы, мм», и «Номинальная длина рубки иглы, мм».</w:t>
      </w:r>
    </w:p>
    <w:p>
      <w:pPr>
        <w:pStyle w:val="Style11"/>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Между тем, заявитель считает, что заказчиком не дано надлежащее обоснование включения вышеуказанных характеристик при описании объекта закупки.</w:t>
      </w:r>
    </w:p>
    <w:p>
      <w:pPr>
        <w:pStyle w:val="Style11"/>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Обоснование необходимости включения дополнительных характеристик приведено в описании объекта закупки: дополнительные требования в отношении функциональных, технических, качественных, эксплуатационных характеристик товара включены на основании пунктов 5, 6 Правил и обусловлены потребностями заказчика в части технических и качественных характеристик объекта закупки, являющихся значимыми в целях оказания квалифицированной медицинской помощи, необходимостью обеспечения получения достоверного результата при оптимальных условиях.</w:t>
      </w:r>
    </w:p>
    <w:p>
      <w:pPr>
        <w:pStyle w:val="Style11"/>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Учитывая, что целями закупки является обеспечение условий оказания медицинской помощи при описании объекта закупки использованы не только показатели, требования и терминология,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(далее по тексту - Стандарты), но и иные показатели, требования и терминология, позволяющие определить соответствие закупаемых товаров требованиям заказчика. Применение иных показателей обусловлено необходимостью отражения потребностей заказчика в части технических и качественных характеристик объекта закупки, в том числе функциональных и иных параметров, не регламентированных соответствующими Стандартами, но являющихся значимыми относительно потребности заказчика.</w:t>
      </w:r>
    </w:p>
    <w:tbl>
      <w:tblPr>
        <w:tblOverlap w:val="never"/>
        <w:jc w:val="center"/>
        <w:tblLayout w:type="fixed"/>
      </w:tblPr>
      <w:tblGrid>
        <w:gridCol w:w="3350"/>
        <w:gridCol w:w="6797"/>
      </w:tblGrid>
      <w:tr>
        <w:trPr>
          <w:trHeight w:val="221"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Трехдетальный тип шприца</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Наличие манжеты позволяет медленное и плавное введение лекарственного средства</w:t>
            </w:r>
          </w:p>
        </w:tc>
      </w:tr>
      <w:tr>
        <w:trPr>
          <w:trHeight w:val="216"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Градуировка</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Для дозирования максимально точного количества</w:t>
            </w:r>
          </w:p>
        </w:tc>
      </w:tr>
      <w:tr>
        <w:trPr>
          <w:trHeight w:val="216"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Шаг градуировки шкалы</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для максимально точного дозирования лекарственного средства</w:t>
            </w:r>
          </w:p>
        </w:tc>
      </w:tr>
      <w:tr>
        <w:trPr>
          <w:trHeight w:val="427"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Тип соединения Луер Слип</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Удобен в использовании при подкожных или внутримышечных или внутривенных инъекциях</w:t>
            </w:r>
          </w:p>
        </w:tc>
      </w:tr>
      <w:tr>
        <w:trPr>
          <w:trHeight w:val="422"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Наличие иглы в единой упаковке со шприцем</w:t>
            </w:r>
          </w:p>
        </w:tc>
        <w:tc>
          <w:tcPr>
            <w:tcBorders>
              <w:top w:val="single" w:sz="4"/>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Осуществление инъекции и сокращение времени подготовки к инъекции</w:t>
            </w:r>
          </w:p>
        </w:tc>
      </w:tr>
      <w:tr>
        <w:trPr>
          <w:trHeight w:val="701"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Игла имеет цветовую кодировку номинального наружного диаметра трубки по ГОСТ Р ИСО 6009-2020</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Цветовой код позволяет визуально идентифицировать размер иглы,так как непосредственно на игле маркировка размера не наносится (в соотв. с п.3 ГОСТ Р ИСО 6009-2020)</w:t>
            </w:r>
          </w:p>
        </w:tc>
      </w:tr>
      <w:tr>
        <w:trPr>
          <w:trHeight w:val="643"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ru-RU" w:eastAsia="ru-RU" w:bidi="ru-RU"/>
              </w:rPr>
              <w:t>Номинальный наружный диаметр иглы, мм</w:t>
            </w:r>
          </w:p>
          <w:p>
            <w:pPr>
              <w:pStyle w:val="Style25"/>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ru-RU" w:eastAsia="ru-RU" w:bidi="ru-RU"/>
              </w:rPr>
              <w:t>Номинальная длина трубки иглы, мм</w:t>
            </w:r>
          </w:p>
        </w:tc>
        <w:tc>
          <w:tcPr>
            <w:tcBorders>
              <w:top w:val="single" w:sz="4"/>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ru-RU" w:eastAsia="ru-RU" w:bidi="ru-RU"/>
              </w:rPr>
              <w:t>Обусловлены потребностями лечебного процесса к шприцу соответствующего объема, для максимально безболезненного введения лекарственных средств</w:t>
            </w:r>
          </w:p>
        </w:tc>
      </w:tr>
      <w:tr>
        <w:trPr>
          <w:trHeight w:val="226" w:hRule="exact"/>
        </w:trPr>
        <w:tc>
          <w:tcPr>
            <w:tcBorders>
              <w:top w:val="single" w:sz="4"/>
              <w:left w:val="single" w:sz="4"/>
              <w:bottom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Корпус и поршень шприца не содержат</w:t>
            </w:r>
          </w:p>
        </w:tc>
        <w:tc>
          <w:tcPr>
            <w:tcBorders>
              <w:top w:val="single" w:sz="4"/>
              <w:left w:val="single" w:sz="4"/>
              <w:bottom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снижение риска возникновения аллергических реакций</w:t>
            </w:r>
          </w:p>
        </w:tc>
      </w:tr>
    </w:tbl>
    <w:p>
      <w:pPr>
        <w:widowControl w:val="0"/>
        <w:spacing w:line="1" w:lineRule="exact"/>
      </w:pPr>
    </w:p>
    <w:tbl>
      <w:tblPr>
        <w:tblOverlap w:val="never"/>
        <w:jc w:val="center"/>
        <w:tblLayout w:type="fixed"/>
      </w:tblPr>
      <w:tblGrid>
        <w:gridCol w:w="3350"/>
        <w:gridCol w:w="6797"/>
      </w:tblGrid>
      <w:tr>
        <w:trPr>
          <w:trHeight w:val="427"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латекса, наличие соответствующего знака на всех видах упаковки</w:t>
            </w:r>
          </w:p>
        </w:tc>
        <w:tc>
          <w:tcPr>
            <w:tcBorders>
              <w:top w:val="single" w:sz="4"/>
              <w:left w:val="single" w:sz="4"/>
              <w:right w:val="single" w:sz="4"/>
            </w:tcBorders>
            <w:shd w:val="clear" w:color="auto" w:fill="auto"/>
            <w:vAlign w:val="top"/>
          </w:tcPr>
          <w:p>
            <w:pPr>
              <w:widowControl w:val="0"/>
              <w:rPr>
                <w:sz w:val="10"/>
                <w:szCs w:val="10"/>
              </w:rPr>
            </w:pPr>
          </w:p>
        </w:tc>
      </w:tr>
      <w:tr>
        <w:trPr>
          <w:trHeight w:val="835"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Цилиндр шприца прозрачный, с ограничителем хода поршня</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Ограничитель предотвращает случайный выход поршня из цилиндра при наборе и смешивании препаратов в шприце, Прозрачность цилиндра обеспечивает визуальный контроль при наборе и введении лекарственного средства, контроль пузырьков воздуха при смешивании и наборе лекарственного средства.</w:t>
            </w:r>
          </w:p>
        </w:tc>
      </w:tr>
      <w:tr>
        <w:trPr>
          <w:trHeight w:val="629"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Шток-поршень окрашен цветом, должна быть накладка поршня с не менее чем двумя уплотнительными кольцами.</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Цветоконтрастность поршня позволяет лучше контролировать объем наполнения шприца. Манжета усиливает прилегание к стенкам цилиндра, снижает вероятность подтекания лекарственных средств и биологических жидкостей.</w:t>
            </w:r>
          </w:p>
        </w:tc>
      </w:tr>
      <w:tr>
        <w:trPr>
          <w:trHeight w:val="432" w:hRule="exact"/>
        </w:trPr>
        <w:tc>
          <w:tcPr>
            <w:tcBorders>
              <w:top w:val="single" w:sz="4"/>
              <w:left w:val="single" w:sz="4"/>
              <w:bottom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Шкала на цилиндре нанесена краской, устойчивой к истиранию</w:t>
            </w:r>
          </w:p>
        </w:tc>
        <w:tc>
          <w:tcPr>
            <w:tcBorders>
              <w:top w:val="single" w:sz="4"/>
              <w:left w:val="single" w:sz="4"/>
              <w:bottom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Для предотвращения истирания шкалы до момента окончания использования медицинского изделия</w:t>
            </w:r>
          </w:p>
        </w:tc>
      </w:tr>
    </w:tbl>
    <w:p>
      <w:pPr>
        <w:pStyle w:val="Style11"/>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Дополнительно, Комиссия Коми УФАС России обращает внимание, что по всем позициям, помимо дополнительных характеристик позиции КТРУ, установлены характеристики КТРУ, подлежащие обязательному применению.</w:t>
      </w:r>
    </w:p>
    <w:p>
      <w:pPr>
        <w:pStyle w:val="Style11"/>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Законодательство Российской Федерации о контрактной системе в сфере закупок не устанавливает форму и содержание обоснования включения дополнительных характеристик к товару.</w:t>
      </w:r>
    </w:p>
    <w:p>
      <w:pPr>
        <w:pStyle w:val="Style11"/>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Из норм, предусмотренных Правилами, присутствует лишь обязанность обосновывать включения дополнительной информации в описание объекта закупки.</w:t>
      </w:r>
    </w:p>
    <w:p>
      <w:pPr>
        <w:pStyle w:val="Style11"/>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Учитывая изложенное, Заказчику предоставлено право определить характеристики поставляемого товара, которые будут иметь существенное значение для его последующего использования при оказании соответствующего вида государственных услуг, при наличии в извещении об осуществлении закупки обоснования необходимости указания таких характеристик.</w:t>
      </w:r>
    </w:p>
    <w:p>
      <w:pPr>
        <w:pStyle w:val="Style11"/>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При установлении требований к качественным, техническим и функциональным показателям заказчик вправе руководствоваться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pPr>
        <w:pStyle w:val="Style11"/>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Из приведенных норм закона следует, что действующее законодательство в сфере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pPr>
        <w:pStyle w:val="Style11"/>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В соответствии с правовой позицией, сформированной в постановлении Президиума Высшего Арбитражного суда РФ от 28.12.2010 № 11017/10 по делу №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pPr>
        <w:pStyle w:val="Style11"/>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Представителем заказчика в ходе заседания Комиссии Коми УФАС России также поддержано, что «Номинальный наружный диаметр игры, мм» и «Номинальная длина трубки иглы, мм» установлено с целью определения товара для максимально безболезненного введения лекарственных препаратов.</w:t>
      </w:r>
    </w:p>
    <w:p>
      <w:pPr>
        <w:pStyle w:val="Style17"/>
        <w:keepNext/>
        <w:keepLines/>
        <w:widowControl w:val="0"/>
        <w:shd w:val="clear" w:color="auto" w:fill="auto"/>
        <w:bidi w:val="0"/>
        <w:spacing w:before="0" w:after="0" w:line="240" w:lineRule="auto"/>
        <w:ind w:right="0"/>
        <w:jc w:val="both"/>
      </w:pPr>
      <w:bookmarkStart w:id="3" w:name="bookmark3"/>
      <w:r>
        <w:rPr>
          <w:color w:val="000000"/>
          <w:spacing w:val="0"/>
          <w:w w:val="100"/>
          <w:position w:val="0"/>
          <w:shd w:val="clear" w:color="auto" w:fill="auto"/>
          <w:lang w:val="ru-RU" w:eastAsia="ru-RU" w:bidi="ru-RU"/>
        </w:rPr>
        <w:t>Следует отметить, что заявитель, являясь субъектом предпринимательской деятельности - поставщиком, не ограничен в выборе контрагентов.</w:t>
      </w:r>
      <w:bookmarkEnd w:id="3"/>
    </w:p>
    <w:p>
      <w:pPr>
        <w:pStyle w:val="Style11"/>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Объектом закупки являются медицинские изделия, которые находятся в свободном обращении на рынке РФ. Требования извещения об осуществлении закупки не ограничивают число участников закупки, так как предметом аукциона является поставка, а не производство (изготовление) товара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статье 506 Гражданского кодекса Российской Федерации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письму Росздравнадзора от 23.04.2008 № 01И-171/08 «О регистрационных удостоверениях на изделия медицинского назначения» любое лицо в соответствии с требованиями действующего законодательства вправе производить, импортировать, продавать и применять изделия медицинского назначения, зарегистрированные на территории Российской Федерации.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осуществлении закупки заказчик не имеет возможности установить требования к характеристикам товара, которые удовлетворяли бы всех возможных участников закупки и при формировании аукционной документации руководствовался существующей потребностью при оказании медицинской помощи пациентам.</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 согласно сведениям, представленным оператором электронной площадки письмом от 17.01.2025 (вх. от 17.01.2025 № 477-ЭП/25), на участие в закупке было подано две заявки.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по закупке 0307200016624000424 от 16.01.2025 обе заявки были допущены к участию в закупке и признаны соответствующими требованиям извещения об осуществлении закупки.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Заявки содержат регистрационные удостоверения на медицинские изделия различных производителей.</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составах заявок были приложены следующие регистрационные удостоверения:</w:t>
      </w:r>
    </w:p>
    <w:p>
      <w:pPr>
        <w:pStyle w:val="Style11"/>
        <w:keepNext w:val="0"/>
        <w:keepLines w:val="0"/>
        <w:widowControl w:val="0"/>
        <w:numPr>
          <w:ilvl w:val="0"/>
          <w:numId w:val="9"/>
        </w:numPr>
        <w:shd w:val="clear" w:color="auto" w:fill="auto"/>
        <w:tabs>
          <w:tab w:pos="93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РЗН 2022/16912 от 19.10.2022 на медицинское изделие «Шприцы инъекционные однократного применения стерильные, саморазрушающиеся, самоблокирующиеся двухдетальные и трехдетальные с иглами по ТУ 32.50.13-002-47603734-2020, производитель - общество с ограниченной ответственностью «Снабполимер Медицина» (далее - ООО «Снабполимер Медицина»);</w:t>
      </w:r>
    </w:p>
    <w:p>
      <w:pPr>
        <w:pStyle w:val="Style11"/>
        <w:keepNext w:val="0"/>
        <w:keepLines w:val="0"/>
        <w:widowControl w:val="0"/>
        <w:numPr>
          <w:ilvl w:val="0"/>
          <w:numId w:val="9"/>
        </w:numPr>
        <w:shd w:val="clear" w:color="auto" w:fill="auto"/>
        <w:tabs>
          <w:tab w:pos="93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ФСР 2008/03888 от 17.07.2019 на медицинское изделие «Шприцы инъекционные однократного применения стерильные с иглами инъекционными однократного применения по ТУ 9398-001-74017482-2010, производитель - общество с ограниченной ответственностью «Медико-производственная компания «Елец»;</w:t>
      </w:r>
    </w:p>
    <w:p>
      <w:pPr>
        <w:pStyle w:val="Style11"/>
        <w:keepNext w:val="0"/>
        <w:keepLines w:val="0"/>
        <w:widowControl w:val="0"/>
        <w:numPr>
          <w:ilvl w:val="0"/>
          <w:numId w:val="9"/>
        </w:numPr>
        <w:shd w:val="clear" w:color="auto" w:fill="auto"/>
        <w:tabs>
          <w:tab w:pos="92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РЗН 2022/19172 от 31.03.2023 на медицинское изделие «Шприц инъекционные однократного применения стерильные по ТУ 32.50.13-001-4763734-2020», производитель - ООО «Снабполимер Медицина»;</w:t>
      </w:r>
    </w:p>
    <w:p>
      <w:pPr>
        <w:pStyle w:val="Style11"/>
        <w:keepNext w:val="0"/>
        <w:keepLines w:val="0"/>
        <w:widowControl w:val="0"/>
        <w:numPr>
          <w:ilvl w:val="0"/>
          <w:numId w:val="9"/>
        </w:numPr>
        <w:shd w:val="clear" w:color="auto" w:fill="auto"/>
        <w:tabs>
          <w:tab w:pos="92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ФСР 2010/09424 от 18.05.2017 на медицинское изделие «Шприц туберкулиновый однократного применения в комплекте с иглой и без иглы (0,3х13; 0,33х12,7; 0,4х13; 0,4х19; 0,4х16; 0,5х25), стерильный по ТУ 32.50.13-004-96673695-217, производитель - общество с ограниченной ответственностью «МЕДПРОМ БОБЕНИ ПРОДАКШЕН»;</w:t>
      </w:r>
    </w:p>
    <w:p>
      <w:pPr>
        <w:pStyle w:val="Style11"/>
        <w:keepNext w:val="0"/>
        <w:keepLines w:val="0"/>
        <w:widowControl w:val="0"/>
        <w:numPr>
          <w:ilvl w:val="0"/>
          <w:numId w:val="9"/>
        </w:numPr>
        <w:shd w:val="clear" w:color="auto" w:fill="auto"/>
        <w:tabs>
          <w:tab w:pos="93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РЗН 2020/11665 от 13.08.2020 на медицинское изделие «Шприцы инъекционные однократного применения, стерильные, самоблокирующиеся по ТУ 32.50.13-002-93599774</w:t>
        <w:softHyphen/>
        <w:t>2019, производитель - общество с ограниченной ответственностью «Группа СТК» (далее - ООО «Группа СТК»);</w:t>
      </w:r>
    </w:p>
    <w:p>
      <w:pPr>
        <w:pStyle w:val="Style11"/>
        <w:keepNext w:val="0"/>
        <w:keepLines w:val="0"/>
        <w:widowControl w:val="0"/>
        <w:numPr>
          <w:ilvl w:val="0"/>
          <w:numId w:val="9"/>
        </w:numPr>
        <w:shd w:val="clear" w:color="auto" w:fill="auto"/>
        <w:tabs>
          <w:tab w:pos="92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РЗН 2020/17257 от 19.05.2022 на медицинское изделие «Шприцы инъекционные однократного применения стерильные с иглой/иглами для инсулина по ТУ 32.50.13-003-</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93599774-2020, производитель ООО «Группа СТК»;</w:t>
      </w:r>
    </w:p>
    <w:p>
      <w:pPr>
        <w:pStyle w:val="Style11"/>
        <w:keepNext w:val="0"/>
        <w:keepLines w:val="0"/>
        <w:widowControl w:val="0"/>
        <w:numPr>
          <w:ilvl w:val="0"/>
          <w:numId w:val="9"/>
        </w:numPr>
        <w:shd w:val="clear" w:color="auto" w:fill="auto"/>
        <w:tabs>
          <w:tab w:pos="93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РЗН 2010/08843 от 18.03.2020 на медицинское изделие «Шприцы инъекционные однократного применения трехдетальные или двухдетальные, стерильные типы «Луер» или «Луер Лок», производитель - ООО «Группа СТК».</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требуемые к поставке шприцы имеются в свободном обращении на рынке медицинских изделии Российской Федерации.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рассмотрении жалобы, не установлено препятствий для подачи заявки ООО «СОФ «БаРо» на участие в закупке с установленными в описании объекта закупки дополнительными характеристиками к товару.</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технические, функциональные характеристики и иные требования, установленные Заказчиком к предмету закупки и зафиксированные в Описании объекта закупки, извещении об осуществлении закупки, направлены на максимальное удовлетворение нужд (потребностей) Заказчика. При этом, в полном соответствии с действующим законодательством, технические требования сформулированы таким образом, чтобы исключить необоснованные ограничения конкуренции.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связи с чем, Комиссия Коми УФАС России не находит причин для признания соответствующего довода обоснованным.</w:t>
      </w:r>
    </w:p>
    <w:p>
      <w:pPr>
        <w:pStyle w:val="Style11"/>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ru-RU" w:eastAsia="ru-RU" w:bidi="ru-RU"/>
        </w:rPr>
        <w:t>В силу части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w:t>
      </w:r>
      <w:r>
        <w:rPr>
          <w:i/>
          <w:iCs/>
          <w:color w:val="000000"/>
          <w:spacing w:val="0"/>
          <w:w w:val="100"/>
          <w:position w:val="0"/>
          <w:shd w:val="clear" w:color="auto" w:fill="auto"/>
          <w:lang w:val="ru-RU" w:eastAsia="ru-RU" w:bidi="ru-RU"/>
        </w:rPr>
        <w:t>а также в результате рассмотрения жалобы на действия (бездействие) заказчика,</w:t>
      </w:r>
      <w:r>
        <w:rPr>
          <w:color w:val="000000"/>
          <w:spacing w:val="0"/>
          <w:w w:val="100"/>
          <w:position w:val="0"/>
          <w:shd w:val="clear" w:color="auto" w:fill="auto"/>
          <w:lang w:val="ru-RU" w:eastAsia="ru-RU" w:bidi="ru-RU"/>
        </w:rPr>
        <w:t xml:space="preserve">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По данной жалобе предписание выдаче не подлежит, так как нарушения в действиях заказчика - ГБУЗ РК «КРКПЦ» при описании объекта закупки, не подтверждены.</w:t>
      </w:r>
    </w:p>
    <w:p>
      <w:pPr>
        <w:pStyle w:val="Style11"/>
        <w:keepNext w:val="0"/>
        <w:keepLines w:val="0"/>
        <w:widowControl w:val="0"/>
        <w:shd w:val="clear" w:color="auto" w:fill="auto"/>
        <w:bidi w:val="0"/>
        <w:spacing w:before="0" w:after="180" w:line="240" w:lineRule="auto"/>
        <w:ind w:left="0" w:right="0" w:firstLine="560"/>
        <w:jc w:val="both"/>
      </w:pPr>
      <w:r>
        <w:rPr>
          <w:color w:val="000000"/>
          <w:spacing w:val="0"/>
          <w:w w:val="100"/>
          <w:position w:val="0"/>
          <w:shd w:val="clear" w:color="auto" w:fill="auto"/>
          <w:lang w:val="ru-RU" w:eastAsia="ru-RU" w:bidi="ru-RU"/>
        </w:rPr>
        <w:t>С учетом всех вышеизложенных обстоятельств, руководствуясь частью 8 статьи 106 Закона о контрактной системе, Комиссия Коми УФАС России,</w:t>
      </w:r>
    </w:p>
    <w:p>
      <w:pPr>
        <w:pStyle w:val="Style11"/>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1"/>
        <w:keepNext w:val="0"/>
        <w:keepLines w:val="0"/>
        <w:widowControl w:val="0"/>
        <w:numPr>
          <w:ilvl w:val="0"/>
          <w:numId w:val="11"/>
        </w:numPr>
        <w:shd w:val="clear" w:color="auto" w:fill="auto"/>
        <w:tabs>
          <w:tab w:pos="104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жалобу ООО «СОФ «БаРо» необоснованной.</w:t>
      </w:r>
    </w:p>
    <w:p>
      <w:pPr>
        <w:pStyle w:val="Style11"/>
        <w:keepNext w:val="0"/>
        <w:keepLines w:val="0"/>
        <w:widowControl w:val="0"/>
        <w:numPr>
          <w:ilvl w:val="0"/>
          <w:numId w:val="11"/>
        </w:numPr>
        <w:shd w:val="clear" w:color="auto" w:fill="auto"/>
        <w:tabs>
          <w:tab w:pos="1038" w:val="left"/>
        </w:tabs>
        <w:bidi w:val="0"/>
        <w:spacing w:before="0" w:after="220" w:line="240" w:lineRule="auto"/>
        <w:ind w:left="0" w:right="0" w:firstLine="740"/>
        <w:jc w:val="both"/>
      </w:pPr>
      <w:r>
        <w:rPr>
          <w:color w:val="000000"/>
          <w:spacing w:val="0"/>
          <w:w w:val="100"/>
          <w:position w:val="0"/>
          <w:shd w:val="clear" w:color="auto" w:fill="auto"/>
          <w:lang w:val="ru-RU" w:eastAsia="ru-RU" w:bidi="ru-RU"/>
        </w:rPr>
        <w:t>По результатам рассмотрения жалобы доводы заявителя о возможных нарушениях заказчиком - ГБУЗ РК «КРКПЦ» требований законодательства Российской Федерации о контрактной системе в сфере закупок при формировании извещения об осуществлении закупки, определении положений извещения об осуществлении закупки, формирования объекта закупки, не подтверждены.</w:t>
      </w:r>
      <w:r>
        <w:br w:type="page"/>
      </w:r>
    </w:p>
    <w:p>
      <w:pPr>
        <w:pStyle w:val="Style11"/>
        <w:keepNext w:val="0"/>
        <w:keepLines w:val="0"/>
        <w:widowControl w:val="0"/>
        <w:numPr>
          <w:ilvl w:val="0"/>
          <w:numId w:val="11"/>
        </w:numPr>
        <w:shd w:val="clear" w:color="auto" w:fill="auto"/>
        <w:tabs>
          <w:tab w:pos="106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того, что нарушения законодательства Российской Федерации о контрактной системе в сфере закупок при формировании извещения об осуществлении закупки, определении положений извещения об осуществлении закупки не подтверждены, формирования объекта закупки, предписание не выдавать.</w:t>
      </w:r>
    </w:p>
    <w:p>
      <w:pPr>
        <w:pStyle w:val="Style11"/>
        <w:keepNext w:val="0"/>
        <w:keepLines w:val="0"/>
        <w:widowControl w:val="0"/>
        <w:numPr>
          <w:ilvl w:val="0"/>
          <w:numId w:val="11"/>
        </w:numPr>
        <w:shd w:val="clear" w:color="auto" w:fill="auto"/>
        <w:tabs>
          <w:tab w:pos="1067"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Передать материалы жалобы уполномоченному должностному лицу Коми УФАС России для вынесения определения об отказе в возбуждении административного дела по части 1.4 статьи 7.30 Кодекса Российской Федерации об административных правонарушениях.</w:t>
      </w:r>
    </w:p>
    <w:p>
      <w:pPr>
        <w:pStyle w:val="Style11"/>
        <w:keepNext w:val="0"/>
        <w:keepLines w:val="0"/>
        <w:widowControl w:val="0"/>
        <w:shd w:val="clear" w:color="auto" w:fill="auto"/>
        <w:bidi w:val="0"/>
        <w:spacing w:before="0" w:after="920" w:line="240" w:lineRule="auto"/>
        <w:ind w:left="0" w:right="0" w:firstLine="820"/>
        <w:jc w:val="both"/>
      </w:pPr>
      <w:r>
        <w:rPr>
          <w:color w:val="000000"/>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1"/>
        <w:keepNext w:val="0"/>
        <w:keepLines w:val="0"/>
        <w:widowControl w:val="0"/>
        <w:shd w:val="clear" w:color="auto" w:fill="auto"/>
        <w:tabs>
          <w:tab w:leader="underscore" w:pos="6566" w:val="left"/>
        </w:tabs>
        <w:bidi w:val="0"/>
        <w:spacing w:before="0" w:after="0" w:line="240" w:lineRule="auto"/>
        <w:ind w:left="0" w:right="0" w:firstLine="0"/>
        <w:jc w:val="both"/>
        <w:rPr>
          <w:sz w:val="28"/>
          <w:szCs w:val="28"/>
        </w:rPr>
      </w:pPr>
      <w:r>
        <w:rPr>
          <w:color w:val="000000"/>
          <w:spacing w:val="0"/>
          <w:w w:val="100"/>
          <w:position w:val="0"/>
          <w:sz w:val="28"/>
          <w:szCs w:val="28"/>
          <w:shd w:val="clear" w:color="auto" w:fill="auto"/>
          <w:lang w:val="ru-RU" w:eastAsia="ru-RU" w:bidi="ru-RU"/>
        </w:rPr>
        <w:t xml:space="preserve">Председатель комиссии </w:t>
        <w:tab/>
      </w:r>
    </w:p>
    <w:p>
      <w:pPr>
        <w:widowControl w:val="0"/>
        <w:spacing w:line="1" w:lineRule="exact"/>
        <w:sectPr>
          <w:headerReference w:type="default" r:id="rId10"/>
          <w:footerReference w:type="default" r:id="rId11"/>
          <w:footnotePr>
            <w:pos w:val="pageBottom"/>
            <w:numFmt w:val="decimal"/>
            <w:numRestart w:val="continuous"/>
          </w:footnotePr>
          <w:pgSz w:w="11900" w:h="16840"/>
          <w:pgMar w:top="1665" w:right="457" w:bottom="1313" w:left="989" w:header="0" w:footer="3" w:gutter="0"/>
          <w:cols w:space="720"/>
          <w:noEndnote/>
          <w:rtlGutter w:val="0"/>
          <w:docGrid w:linePitch="360"/>
        </w:sectPr>
      </w:pPr>
      <w:r>
        <mc:AlternateContent>
          <mc:Choice Requires="wps">
            <w:drawing>
              <wp:anchor distT="60960" distB="0" distL="0" distR="0" simplePos="0" relativeHeight="125829385" behindDoc="0" locked="0" layoutInCell="1" allowOverlap="1">
                <wp:simplePos x="0" y="0"/>
                <wp:positionH relativeFrom="page">
                  <wp:posOffset>3131820</wp:posOffset>
                </wp:positionH>
                <wp:positionV relativeFrom="paragraph">
                  <wp:posOffset>60960</wp:posOffset>
                </wp:positionV>
                <wp:extent cx="1722120" cy="255905"/>
                <wp:wrapTopAndBottom/>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6.59999999999999pt;margin-top:4.7999999999999998pt;width:135.59999999999999pt;height:20.150000000000002pt;z-index:-125829368;mso-wrap-distance-left:0;mso-wrap-distance-top:4.7999999999999998pt;mso-wrap-distance-right:0;mso-position-horizontal-relative:page" filled="f" stroked="f">
                <v:textbox inset="0,0,0,0">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66675" distL="0" distR="0" simplePos="0" relativeHeight="125829387" behindDoc="0" locked="0" layoutInCell="1" allowOverlap="1">
                <wp:simplePos x="0" y="0"/>
                <wp:positionH relativeFrom="page">
                  <wp:posOffset>6134100</wp:posOffset>
                </wp:positionH>
                <wp:positionV relativeFrom="paragraph">
                  <wp:posOffset>0</wp:posOffset>
                </wp:positionV>
                <wp:extent cx="1048385" cy="250190"/>
                <wp:wrapTopAndBottom/>
                <wp:docPr id="19" name="Shape 19"/>
                <a:graphic xmlns:a="http://schemas.openxmlformats.org/drawingml/2006/main">
                  <a:graphicData uri="http://schemas.microsoft.com/office/word/2010/wordprocessingShape">
                    <wps:wsp>
                      <wps:cNvSpPr txBox="1"/>
                      <wps:spPr>
                        <a:xfrm>
                          <a:ext cx="1048385"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О.И. Дейберт</w:t>
                            </w:r>
                          </w:p>
                        </w:txbxContent>
                      </wps:txbx>
                      <wps:bodyPr wrap="none" lIns="0" tIns="0" rIns="0" bIns="0">
                        <a:noAutoFit/>
                      </wps:bodyPr>
                    </wps:wsp>
                  </a:graphicData>
                </a:graphic>
              </wp:anchor>
            </w:drawing>
          </mc:Choice>
          <mc:Fallback>
            <w:pict>
              <v:shape id="_x0000_s1045" type="#_x0000_t202" style="position:absolute;margin-left:483.pt;margin-top:0;width:82.549999999999997pt;height:19.699999999999999pt;z-index:-125829366;mso-wrap-distance-left:0;mso-wrap-distance-right:0;mso-wrap-distance-bottom:5.2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О.И. Дейберт</w:t>
                      </w:r>
                    </w:p>
                  </w:txbxContent>
                </v:textbox>
                <w10:wrap type="topAndBottom" anchorx="page"/>
              </v:shape>
            </w:pict>
          </mc:Fallback>
        </mc:AlternateContent>
      </w:r>
    </w:p>
    <w:p>
      <w:pPr>
        <w:widowControl w:val="0"/>
        <w:spacing w:before="7" w:after="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666" w:right="0" w:bottom="5026" w:left="0" w:header="0" w:footer="3" w:gutter="0"/>
          <w:cols w:space="720"/>
          <w:noEndnote/>
          <w:rtlGutter w:val="0"/>
          <w:docGrid w:linePitch="360"/>
        </w:sectPr>
      </w:pPr>
    </w:p>
    <w:p>
      <w:pPr>
        <w:pStyle w:val="Style30"/>
        <w:keepNext w:val="0"/>
        <w:keepLines w:val="0"/>
        <w:widowControl w:val="0"/>
        <w:shd w:val="clear" w:color="auto" w:fill="auto"/>
        <w:bidi w:val="0"/>
        <w:spacing w:before="0" w:after="0" w:line="240" w:lineRule="auto"/>
        <w:ind w:left="322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C6C6C"/>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Дейберт Ольга Ивановна</w:t>
      </w:r>
    </w:p>
    <w:p>
      <w:pPr>
        <w:pStyle w:val="Style30"/>
        <w:keepNext w:val="0"/>
        <w:keepLines w:val="0"/>
        <w:widowControl w:val="0"/>
        <w:shd w:val="clear" w:color="auto" w:fill="auto"/>
        <w:bidi w:val="0"/>
        <w:spacing w:before="0" w:after="0" w:line="240" w:lineRule="auto"/>
        <w:ind w:left="322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47ВЕ956094А2653С447Е267327825004</w:t>
      </w:r>
    </w:p>
    <w:p>
      <w:pPr>
        <w:pStyle w:val="Style30"/>
        <w:keepNext w:val="0"/>
        <w:keepLines w:val="0"/>
        <w:widowControl w:val="0"/>
        <w:shd w:val="clear" w:color="auto" w:fill="auto"/>
        <w:bidi w:val="0"/>
        <w:spacing w:before="0" w:after="360" w:line="240" w:lineRule="auto"/>
        <w:ind w:left="3220" w:right="0" w:firstLine="0"/>
        <w:jc w:val="left"/>
      </w:pPr>
      <w:r>
        <w:rPr>
          <w:color w:val="6C6C6C"/>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10.06.2024 </w:t>
      </w:r>
      <w:r>
        <w:rPr>
          <w:color w:val="8D8D8D"/>
          <w:spacing w:val="0"/>
          <w:w w:val="100"/>
          <w:position w:val="0"/>
          <w:shd w:val="clear" w:color="auto" w:fill="auto"/>
          <w:lang w:val="ru-RU" w:eastAsia="ru-RU" w:bidi="ru-RU"/>
        </w:rPr>
        <w:t xml:space="preserve">по </w:t>
      </w:r>
      <w:r>
        <w:rPr>
          <w:color w:val="6C6C6C"/>
          <w:spacing w:val="0"/>
          <w:w w:val="100"/>
          <w:position w:val="0"/>
          <w:shd w:val="clear" w:color="auto" w:fill="auto"/>
          <w:lang w:val="ru-RU" w:eastAsia="ru-RU" w:bidi="ru-RU"/>
        </w:rPr>
        <w:t>03.09.2025</w:t>
      </w:r>
    </w:p>
    <w:p>
      <w:pPr>
        <w:pStyle w:val="Style11"/>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666" w:right="546" w:bottom="5026" w:left="1106" w:header="0" w:footer="3" w:gutter="0"/>
          <w:cols w:space="720"/>
          <w:noEndnote/>
          <w:rtlGutter w:val="0"/>
          <w:docGrid w:linePitch="360"/>
        </w:sectPr>
      </w:pPr>
      <w:r>
        <mc:AlternateContent>
          <mc:Choice Requires="wps">
            <w:drawing>
              <wp:anchor distT="152400" distB="0" distL="0" distR="0" simplePos="0" relativeHeight="125829389" behindDoc="0" locked="0" layoutInCell="1" allowOverlap="1">
                <wp:simplePos x="0" y="0"/>
                <wp:positionH relativeFrom="page">
                  <wp:posOffset>3122930</wp:posOffset>
                </wp:positionH>
                <wp:positionV relativeFrom="paragraph">
                  <wp:posOffset>152400</wp:posOffset>
                </wp:positionV>
                <wp:extent cx="1722120" cy="255905"/>
                <wp:wrapTopAndBottom/>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5.90000000000001pt;margin-top:12.pt;width:135.59999999999999pt;height:20.150000000000002pt;z-index:-125829364;mso-wrap-distance-left:0;mso-wrap-distance-top:12.pt;mso-wrap-distance-right:0;mso-position-horizontal-relative:page" filled="f" stroked="f">
                <v:textbox inset="0,0,0,0">
                  <w:txbxContent>
                    <w:p>
                      <w:pPr>
                        <w:pStyle w:val="Style20"/>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55575" distL="0" distR="0" simplePos="0" relativeHeight="125829391" behindDoc="0" locked="0" layoutInCell="1" allowOverlap="1">
                <wp:simplePos x="0" y="0"/>
                <wp:positionH relativeFrom="page">
                  <wp:posOffset>5991225</wp:posOffset>
                </wp:positionH>
                <wp:positionV relativeFrom="paragraph">
                  <wp:posOffset>0</wp:posOffset>
                </wp:positionV>
                <wp:extent cx="1185545" cy="252730"/>
                <wp:wrapTopAndBottom/>
                <wp:docPr id="23" name="Shape 23"/>
                <a:graphic xmlns:a="http://schemas.openxmlformats.org/drawingml/2006/main">
                  <a:graphicData uri="http://schemas.microsoft.com/office/word/2010/wordprocessingShape">
                    <wps:wsp>
                      <wps:cNvSpPr txBox="1"/>
                      <wps:spPr>
                        <a:xfrm>
                          <a:ext cx="1185545"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А.А. Мокиенко</w:t>
                            </w:r>
                          </w:p>
                        </w:txbxContent>
                      </wps:txbx>
                      <wps:bodyPr wrap="none" lIns="0" tIns="0" rIns="0" bIns="0">
                        <a:noAutoFit/>
                      </wps:bodyPr>
                    </wps:wsp>
                  </a:graphicData>
                </a:graphic>
              </wp:anchor>
            </w:drawing>
          </mc:Choice>
          <mc:Fallback>
            <w:pict>
              <v:shape id="_x0000_s1049" type="#_x0000_t202" style="position:absolute;margin-left:471.75pt;margin-top:0;width:93.350000000000009pt;height:19.900000000000002pt;z-index:-125829362;mso-wrap-distance-left:0;mso-wrap-distance-right:0;mso-wrap-distance-bottom:12.2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А.А. Мокиенко</w:t>
                      </w:r>
                    </w:p>
                  </w:txbxContent>
                </v:textbox>
                <w10:wrap type="topAndBottom" anchorx="page"/>
              </v:shape>
            </w:pict>
          </mc:Fallback>
        </mc:AlternateContent>
      </w:r>
    </w:p>
    <w:p>
      <w:pPr>
        <w:widowControl w:val="0"/>
        <w:spacing w:line="195" w:lineRule="exact"/>
        <w:rPr>
          <w:sz w:val="16"/>
          <w:szCs w:val="16"/>
        </w:rPr>
      </w:pPr>
    </w:p>
    <w:p>
      <w:pPr>
        <w:widowControl w:val="0"/>
        <w:spacing w:line="1" w:lineRule="exact"/>
        <w:sectPr>
          <w:footnotePr>
            <w:pos w:val="pageBottom"/>
            <w:numFmt w:val="decimal"/>
            <w:numRestart w:val="continuous"/>
          </w:footnotePr>
          <w:type w:val="continuous"/>
          <w:pgSz w:w="11900" w:h="16840"/>
          <w:pgMar w:top="1666" w:right="0" w:bottom="5026" w:left="0" w:header="0" w:footer="3" w:gutter="0"/>
          <w:cols w:space="720"/>
          <w:noEndnote/>
          <w:rtlGutter w:val="0"/>
          <w:docGrid w:linePitch="360"/>
        </w:sectPr>
      </w:pP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Мокиенко Анастасия Александровна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5740В06СЗОЕ)Е)758Е050638ВЕ6СА058С1</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25.12.2023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19.03.2025</w:t>
      </w:r>
    </w:p>
    <w:p>
      <w:pPr>
        <w:widowControl w:val="0"/>
        <w:spacing w:line="1" w:lineRule="exact"/>
        <w:sectPr>
          <w:footnotePr>
            <w:pos w:val="pageBottom"/>
            <w:numFmt w:val="decimal"/>
            <w:numRestart w:val="continuous"/>
          </w:footnotePr>
          <w:type w:val="continuous"/>
          <w:pgSz w:w="11900" w:h="16840"/>
          <w:pgMar w:top="1666" w:right="546" w:bottom="5026" w:left="1106" w:header="0" w:footer="3" w:gutter="0"/>
          <w:cols w:space="720"/>
          <w:noEndnote/>
          <w:rtlGutter w:val="0"/>
          <w:docGrid w:linePitch="360"/>
        </w:sectPr>
      </w:pPr>
      <w:r>
        <mc:AlternateContent>
          <mc:Choice Requires="wps">
            <w:drawing>
              <wp:anchor distT="235585" distB="0" distL="0" distR="0" simplePos="0" relativeHeight="125829393" behindDoc="0" locked="0" layoutInCell="1" allowOverlap="1">
                <wp:simplePos x="0" y="0"/>
                <wp:positionH relativeFrom="page">
                  <wp:posOffset>3065145</wp:posOffset>
                </wp:positionH>
                <wp:positionV relativeFrom="paragraph">
                  <wp:posOffset>235585</wp:posOffset>
                </wp:positionV>
                <wp:extent cx="1725295" cy="255905"/>
                <wp:wrapTopAndBottom/>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1.34999999999999pt;margin-top:18.550000000000001pt;width:135.84999999999999pt;height:20.150000000000002pt;z-index:-125829360;mso-wrap-distance-left:0;mso-wrap-distance-top:18.550000000000001pt;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01600" distB="137160" distL="0" distR="0" simplePos="0" relativeHeight="125829395" behindDoc="0" locked="0" layoutInCell="1" allowOverlap="1">
                <wp:simplePos x="0" y="0"/>
                <wp:positionH relativeFrom="page">
                  <wp:posOffset>5960745</wp:posOffset>
                </wp:positionH>
                <wp:positionV relativeFrom="paragraph">
                  <wp:posOffset>101600</wp:posOffset>
                </wp:positionV>
                <wp:extent cx="1222375" cy="252730"/>
                <wp:wrapTopAndBottom/>
                <wp:docPr id="27" name="Shape 27"/>
                <a:graphic xmlns:a="http://schemas.openxmlformats.org/drawingml/2006/main">
                  <a:graphicData uri="http://schemas.microsoft.com/office/word/2010/wordprocessingShape">
                    <wps:wsp>
                      <wps:cNvSpPr txBox="1"/>
                      <wps:spPr>
                        <a:xfrm>
                          <a:ext cx="1222375"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А.Д. Растегаева</w:t>
                            </w:r>
                          </w:p>
                        </w:txbxContent>
                      </wps:txbx>
                      <wps:bodyPr wrap="none" lIns="0" tIns="0" rIns="0" bIns="0">
                        <a:noAutoFit/>
                      </wps:bodyPr>
                    </wps:wsp>
                  </a:graphicData>
                </a:graphic>
              </wp:anchor>
            </w:drawing>
          </mc:Choice>
          <mc:Fallback>
            <w:pict>
              <v:shape id="_x0000_s1053" type="#_x0000_t202" style="position:absolute;margin-left:469.35000000000002pt;margin-top:8.pt;width:96.25pt;height:19.900000000000002pt;z-index:-125829358;mso-wrap-distance-left:0;mso-wrap-distance-top:8.pt;mso-wrap-distance-right:0;mso-wrap-distance-bottom:10.8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А.Д. Растегаева</w:t>
                      </w:r>
                    </w:p>
                  </w:txbxContent>
                </v:textbox>
                <w10:wrap type="topAndBottom" anchorx="page"/>
              </v:shape>
            </w:pict>
          </mc:Fallback>
        </mc:AlternateContent>
      </w:r>
    </w:p>
    <w:p>
      <w:pPr>
        <w:widowControl w:val="0"/>
        <w:spacing w:before="3" w:after="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666" w:right="0" w:bottom="1666" w:left="0" w:header="0" w:footer="3" w:gutter="0"/>
          <w:cols w:space="720"/>
          <w:noEndnote/>
          <w:rtlGutter w:val="0"/>
          <w:docGrid w:linePitch="360"/>
        </w:sectPr>
      </w:pPr>
    </w:p>
    <w:p>
      <w:pPr>
        <w:pStyle w:val="Style30"/>
        <w:keepNext w:val="0"/>
        <w:keepLines w:val="0"/>
        <w:widowControl w:val="0"/>
        <w:shd w:val="clear" w:color="auto" w:fill="auto"/>
        <w:bidi w:val="0"/>
        <w:spacing w:before="0" w:after="0" w:line="240" w:lineRule="auto"/>
        <w:ind w:left="3100" w:right="0" w:firstLine="0"/>
        <w:jc w:val="left"/>
        <w:rPr>
          <w:sz w:val="11"/>
          <w:szCs w:val="11"/>
        </w:rPr>
      </w:pPr>
      <w:r>
        <w:rPr>
          <w:color w:val="6C6C6C"/>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Растегаева Анна Дмитриевна</w:t>
      </w:r>
    </w:p>
    <w:p>
      <w:pPr>
        <w:pStyle w:val="Style30"/>
        <w:keepNext w:val="0"/>
        <w:keepLines w:val="0"/>
        <w:widowControl w:val="0"/>
        <w:shd w:val="clear" w:color="auto" w:fill="auto"/>
        <w:bidi w:val="0"/>
        <w:spacing w:before="0" w:after="0" w:line="240" w:lineRule="auto"/>
        <w:ind w:left="3100" w:right="0" w:firstLine="0"/>
        <w:jc w:val="left"/>
      </w:pPr>
      <w:r>
        <w:rPr>
          <w:color w:val="3B3B3B"/>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B3B3B"/>
          <w:spacing w:val="0"/>
          <w:w w:val="100"/>
          <w:position w:val="0"/>
          <w:shd w:val="clear" w:color="auto" w:fill="auto"/>
          <w:lang w:val="ru-RU" w:eastAsia="ru-RU" w:bidi="ru-RU"/>
        </w:rPr>
        <w:t>00АЕ786ЕОЗС4997О7832ЕЗЕ0В44087743В</w:t>
      </w:r>
    </w:p>
    <w:p>
      <w:pPr>
        <w:pStyle w:val="Style30"/>
        <w:keepNext w:val="0"/>
        <w:keepLines w:val="0"/>
        <w:widowControl w:val="0"/>
        <w:shd w:val="clear" w:color="auto" w:fill="auto"/>
        <w:bidi w:val="0"/>
        <w:spacing w:before="0" w:after="0" w:line="240" w:lineRule="auto"/>
        <w:ind w:left="3100" w:right="0" w:firstLine="0"/>
        <w:jc w:val="left"/>
      </w:pPr>
      <w:r>
        <w:rPr>
          <w:color w:val="6C6C6C"/>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B3B3B"/>
          <w:spacing w:val="0"/>
          <w:w w:val="100"/>
          <w:position w:val="0"/>
          <w:shd w:val="clear" w:color="auto" w:fill="auto"/>
          <w:lang w:val="ru-RU" w:eastAsia="ru-RU" w:bidi="ru-RU"/>
        </w:rPr>
        <w:t xml:space="preserve">16.02.2024 по </w:t>
      </w:r>
      <w:r>
        <w:rPr>
          <w:color w:val="6C6C6C"/>
          <w:spacing w:val="0"/>
          <w:w w:val="100"/>
          <w:position w:val="0"/>
          <w:shd w:val="clear" w:color="auto" w:fill="auto"/>
          <w:lang w:val="ru-RU" w:eastAsia="ru-RU" w:bidi="ru-RU"/>
        </w:rPr>
        <w:t>11.05.2025</w:t>
      </w:r>
    </w:p>
    <w:sectPr>
      <w:footnotePr>
        <w:pos w:val="pageBottom"/>
        <w:numFmt w:val="decimal"/>
        <w:numRestart w:val="continuous"/>
      </w:footnotePr>
      <w:type w:val="continuous"/>
      <w:pgSz w:w="11900" w:h="16840"/>
      <w:pgMar w:top="1666" w:right="546"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572770" cy="100330"/>
              <wp:wrapNone/>
              <wp:docPr id="9" name="Shape 9"/>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2025-412</w:t>
                          </w:r>
                        </w:p>
                      </w:txbxContent>
                    </wps:txbx>
                    <wps:bodyPr wrap="none" lIns="0" tIns="0" rIns="0" bIns="0">
                      <a:spAutoFit/>
                    </wps:bodyPr>
                  </wps:wsp>
                </a:graphicData>
              </a:graphic>
            </wp:anchor>
          </w:drawing>
        </mc:Choice>
        <mc:Fallback>
          <w:pict>
            <v:shape id="_x0000_s1035" type="#_x0000_t202" style="position:absolute;margin-left:57.pt;margin-top:776.20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2025-412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713105</wp:posOffset>
              </wp:positionH>
              <wp:positionV relativeFrom="page">
                <wp:posOffset>10018395</wp:posOffset>
              </wp:positionV>
              <wp:extent cx="572770" cy="100330"/>
              <wp:wrapNone/>
              <wp:docPr id="15" name="Shape 15"/>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2025-412</w:t>
                          </w:r>
                        </w:p>
                      </w:txbxContent>
                    </wps:txbx>
                    <wps:bodyPr wrap="none" lIns="0" tIns="0" rIns="0" bIns="0">
                      <a:spAutoFit/>
                    </wps:bodyPr>
                  </wps:wsp>
                </a:graphicData>
              </a:graphic>
            </wp:anchor>
          </w:drawing>
        </mc:Choice>
        <mc:Fallback>
          <w:pict>
            <v:shape id="_x0000_s1041" type="#_x0000_t202" style="position:absolute;margin-left:56.149999999999999pt;margin-top:788.85000000000002pt;width:45.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2025-412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3953510</wp:posOffset>
              </wp:positionH>
              <wp:positionV relativeFrom="page">
                <wp:posOffset>758190</wp:posOffset>
              </wp:positionV>
              <wp:extent cx="128270" cy="106680"/>
              <wp:wrapNone/>
              <wp:docPr id="13" name="Shape 1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11.30000000000001pt;margin-top:59.700000000000003pt;width:10.1pt;height:8.4000000000000004pt;z-index:-188744060;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bCs/>
      <w:i w:val="0"/>
      <w:iCs w:val="0"/>
      <w:smallCaps w:val="0"/>
      <w:strike w:val="0"/>
      <w:color w:val="46619A"/>
      <w:sz w:val="18"/>
      <w:szCs w:val="18"/>
      <w:u w:val="none"/>
    </w:rPr>
  </w:style>
  <w:style w:type="character" w:customStyle="1" w:styleId="CharStyle6">
    <w:name w:val="Основной текст (5)_"/>
    <w:basedOn w:val="DefaultParagraphFont"/>
    <w:link w:val="Style5"/>
    <w:rPr>
      <w:rFonts w:ascii="Times New Roman" w:eastAsia="Times New Roman" w:hAnsi="Times New Roman" w:cs="Times New Roman"/>
      <w:b w:val="0"/>
      <w:bCs w:val="0"/>
      <w:i w:val="0"/>
      <w:iCs w:val="0"/>
      <w:smallCaps w:val="0"/>
      <w:strike w:val="0"/>
      <w:color w:val="46619A"/>
      <w:sz w:val="16"/>
      <w:szCs w:val="16"/>
      <w:u w:val="none"/>
    </w:rPr>
  </w:style>
  <w:style w:type="character" w:customStyle="1" w:styleId="CharStyle8">
    <w:name w:val="Основной текст (6)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Заголовок №1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1">
    <w:name w:val="Основной текст (3)_"/>
    <w:basedOn w:val="DefaultParagraphFont"/>
    <w:link w:val="Style20"/>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6">
    <w:name w:val="Другое_"/>
    <w:basedOn w:val="DefaultParagraphFont"/>
    <w:link w:val="Style25"/>
    <w:rPr>
      <w:rFonts w:ascii="Times New Roman" w:eastAsia="Times New Roman" w:hAnsi="Times New Roman" w:cs="Times New Roman"/>
      <w:b w:val="0"/>
      <w:bCs w:val="0"/>
      <w:i w:val="0"/>
      <w:iCs w:val="0"/>
      <w:smallCaps w:val="0"/>
      <w:strike w:val="0"/>
      <w:sz w:val="26"/>
      <w:szCs w:val="26"/>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525252"/>
      <w:sz w:val="12"/>
      <w:szCs w:val="12"/>
      <w:u w:val="none"/>
    </w:rPr>
  </w:style>
  <w:style w:type="paragraph" w:customStyle="1" w:styleId="Style2">
    <w:name w:val="Основной текст (4)"/>
    <w:basedOn w:val="Normal"/>
    <w:link w:val="CharStyle3"/>
    <w:pPr>
      <w:widowControl w:val="0"/>
      <w:shd w:val="clear" w:color="auto" w:fill="auto"/>
      <w:spacing w:after="180" w:line="276" w:lineRule="auto"/>
      <w:jc w:val="center"/>
    </w:pPr>
    <w:rPr>
      <w:rFonts w:ascii="Times New Roman" w:eastAsia="Times New Roman" w:hAnsi="Times New Roman" w:cs="Times New Roman"/>
      <w:b/>
      <w:bCs/>
      <w:i w:val="0"/>
      <w:iCs w:val="0"/>
      <w:smallCaps w:val="0"/>
      <w:strike w:val="0"/>
      <w:color w:val="46619A"/>
      <w:sz w:val="18"/>
      <w:szCs w:val="18"/>
      <w:u w:val="none"/>
    </w:rPr>
  </w:style>
  <w:style w:type="paragraph" w:customStyle="1" w:styleId="Style5">
    <w:name w:val="Основной текст (5)"/>
    <w:basedOn w:val="Normal"/>
    <w:link w:val="CharStyle6"/>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6619A"/>
      <w:sz w:val="16"/>
      <w:szCs w:val="16"/>
      <w:u w:val="none"/>
    </w:rPr>
  </w:style>
  <w:style w:type="paragraph" w:customStyle="1" w:styleId="Style7">
    <w:name w:val="Основной текст (6)"/>
    <w:basedOn w:val="Normal"/>
    <w:link w:val="CharStyle8"/>
    <w:pPr>
      <w:widowControl w:val="0"/>
      <w:shd w:val="clear" w:color="auto" w:fill="auto"/>
      <w:spacing w:after="340"/>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Заголовок №1"/>
    <w:basedOn w:val="Normal"/>
    <w:link w:val="CharStyle18"/>
    <w:pPr>
      <w:widowControl w:val="0"/>
      <w:shd w:val="clear" w:color="auto" w:fill="auto"/>
      <w:ind w:left="220" w:firstLine="700"/>
      <w:outlineLvl w:val="0"/>
    </w:pPr>
    <w:rPr>
      <w:rFonts w:ascii="Times New Roman" w:eastAsia="Times New Roman" w:hAnsi="Times New Roman" w:cs="Times New Roman"/>
      <w:b w:val="0"/>
      <w:bCs w:val="0"/>
      <w:i w:val="0"/>
      <w:iCs w:val="0"/>
      <w:smallCaps w:val="0"/>
      <w:strike w:val="0"/>
      <w:sz w:val="26"/>
      <w:szCs w:val="26"/>
      <w:u w:val="none"/>
    </w:rPr>
  </w:style>
  <w:style w:type="paragraph" w:customStyle="1" w:styleId="Style20">
    <w:name w:val="Основной текст (3)"/>
    <w:basedOn w:val="Normal"/>
    <w:link w:val="CharStyle2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5">
    <w:name w:val="Другое"/>
    <w:basedOn w:val="Normal"/>
    <w:link w:val="CharStyle2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30">
    <w:name w:val="Основной текст (2)"/>
    <w:basedOn w:val="Normal"/>
    <w:link w:val="CharStyle31"/>
    <w:pPr>
      <w:widowControl w:val="0"/>
      <w:shd w:val="clear" w:color="auto" w:fill="auto"/>
      <w:ind w:left="3200"/>
    </w:pPr>
    <w:rPr>
      <w:rFonts w:ascii="Arial" w:eastAsia="Arial" w:hAnsi="Arial" w:cs="Arial"/>
      <w:b w:val="0"/>
      <w:bCs w:val="0"/>
      <w:i w:val="0"/>
      <w:iCs w:val="0"/>
      <w:smallCaps w:val="0"/>
      <w:strike w:val="0"/>
      <w:color w:val="52525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header" Target="header1.xml"/><Relationship Id="rId11" Type="http://schemas.openxmlformats.org/officeDocument/2006/relationships/footer" Target="footer2.xml"/></Relationships>
</file>