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3705860</wp:posOffset>
            </wp:positionH>
            <wp:positionV relativeFrom="margin">
              <wp:posOffset>0</wp:posOffset>
            </wp:positionV>
            <wp:extent cx="621665" cy="7073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7073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15" w:right="305" w:bottom="754" w:left="1300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  <w:bookmarkEnd w:id="0"/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160000, г. Вологда, ул. Пушкинская, 25, тел. (8172)72-99-70; факс (8172)72-46-64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1о35@Га§.%оу.ги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Нир ://уо1о^с1а. Газ .§о V .ги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502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«АМТ»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502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ЗДРАВООХРАНЕНИЯ ВОЛОГОДСКОЙ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50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ОБЛАСТИ "МЕДИКО-САНИТАРНАЯ ЧАСТЬ "СЕВЕРСТАЛЬ"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508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50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ТКУ ВО «Центр закупок»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508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54" w:lineRule="auto"/>
        <w:ind w:left="50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035/06/33-60/2025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6540500</wp:posOffset>
                </wp:positionH>
                <wp:positionV relativeFrom="paragraph">
                  <wp:posOffset>12700</wp:posOffset>
                </wp:positionV>
                <wp:extent cx="768350" cy="18732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Вологда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5.pt;margin-top:1.pt;width:60.5pt;height:14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Вологда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22 января 2025г.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заместителя руководителя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член комиссии Управления начальник отдела контроля органов власти и закупок,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член Комиссии,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«АМГ» на положения извещения о проведении электронного аукциона на поставку наборов для трахеостомии, одноразового использования (реестровый номер извещения в ЕИС 0830500000224005699; далее - аукцион, электронный аукцион, закупка),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представителя Заказчика, в отсутствие представителя Заявителя, Уполномоченного учреждения,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12" w:name="bookmark12"/>
      <w:r>
        <w:rPr>
          <w:color w:val="16223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15.01.2025 в Единой информационной системе в сфере закупок (далее - ЕИС) размещена жалоба Заявителя на положения извещения при проведении электронного аукциона,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соответствует требованиям, предусмотренным ст. 105 Закона о контрактной системе, и в соответствии с уведомлением от 17.01.2025 принята Вологодским УФАС России к рассмотрению.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установленные Заказчиком требования к закупаемому товару, указанные ниже, свидетельствуют о его конкретном производителе и ограничивают потенциальный круг участников закупки.</w:t>
      </w:r>
    </w:p>
    <w:tbl>
      <w:tblPr>
        <w:tblOverlap w:val="never"/>
        <w:jc w:val="center"/>
        <w:tblLayout w:type="fixed"/>
      </w:tblPr>
      <w:tblGrid>
        <w:gridCol w:w="3820"/>
        <w:gridCol w:w="1696"/>
        <w:gridCol w:w="1181"/>
        <w:gridCol w:w="2869"/>
      </w:tblGrid>
      <w:tr>
        <w:trPr>
          <w:trHeight w:val="9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Единица измерения характери 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Инструкция по заполнению характеристик в заявке</w:t>
            </w:r>
          </w:p>
        </w:tc>
      </w:tr>
      <w:tr>
        <w:trPr>
          <w:trHeight w:val="7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Ершик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Скальпель с защитой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9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Пилот-баллон с чёрной несмываемой маркировкой производителя, размера изделия, типом манжеты и максимальным диаметром манжеты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Цельнометаллические дилатационные щипцы Ховарда-Келли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Отверстия для крепления тесьмы фиксации на ушках фланца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 марлевых салфеток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Общая длина трахеостомической трубки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75 и &lt; 77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80 и &lt; 82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&gt;68 и &lt;72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Миллимет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73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Деликатная полупрозрачная манжета в форме бублика, резистентная к закиси азота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  <w:tr>
        <w:trPr>
          <w:trHeight w:val="7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Две внутренние канюли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Установленным требованиям соответствует только один товар, представленный на российском рынке медицинских изделий, а именно «Наборы для трахеостомии по методике Григгса трубка ВЬЕТЕ ЫМЕ ЕТЬТВА с зажимом 100/541», регистрационное удостоверение № ФСЗ 2009/05211 от 21.10.2024 года, производитель «Смите Медикал АСД Инк.», США. Следовательно, в состав лота включен товар с уникальными характеристиками.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представлены письменные возражения на жалобу, из которых следует, что извещение составлено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рассмотрена комиссией Управления посредством использования видеоконференц-связи.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рассмотрении представленных материалов и документов, размещенные в ЕИС (ЬЦр://хакирк1.§оу.ги), в их совокупности, комиссией Управления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24.12.2024 в ЕИС размещено извещение о проведении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Предмет закупки - Поставка наборов для трахеостомии, одноразового использования.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- 7 013 299,65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Окончание подачи заявок - 16.01.2025.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статье 8 Закона о контрактной системе закреплено, что контрактная система в сфере закупок направлена на создание равных условий для обеспечения конкуренции между участниками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данного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1, 2 части 1 статьи 33 Закона о контрактной системе заказчик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3" w:right="593" w:bottom="1047" w:left="101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товаров, работ, услуг установленным заказчиком требованиям. При этом указываются максимальные 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1010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смысла пунктов 1, 2 части 1, части 2 статьи 33 Закона о контрактной системе потребности заказчика являются определяющим фактором при установлении им соответствующих требований.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Закона о контрактной системе, именно таким образом, чтобы участник закупки смог подать заявку на участие в закупке,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Закон о контрактной системе не содержит норм, ограничивающих право заказчика включать в документацию о закупке требования к объекту закупки, которые являются для него значимыми, так и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требований статей 8, 33 Закона о контрактной системе заказчик при описании объекта закупки должен таким образом определить требования к закупаемым товарам, чтобы, с одной стороны, повысить шансы на приобретение товара именно с теми характеристиками, которые ему необходимы, соответствуют его потребностям, а с другой стороны, необоснованно не ограничить количество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Обзору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РФ 28.06.2017 (далее - Обзор судебной практики),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правовой позиции ФАС России, выраженной в письме от 20.09.2021 № ПИ/79427/21, объект закупки должен быть сформирован таким образом, чтобы совокупности характеристик товара соответствовало как минимум два производителя.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пункта 1 Обзора судебной практики следует, что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конкуренции.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Возможное сужение круга участников закупки с одновременным повышением эффективности использования финансирования (обеспечением его экономии), исходя из положений пункта 1 статьи 1 Закона о контрактной системе, не может само по себе рассматриваться в качестве нарушения требований Федерального закона от 26 июля 2006 года № 135-ФЗ «О защите конкуренции».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описании объекта закупки Заказчик использовал позицию КТРУ 32.50.50.190- 00000278 «Набор для трахеостомии, одноразового использования», которая не содержит каких-либо характеристик.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этом случае, Заказчик, руководствуясь статьей 33 Закона о контрактной системе, с учетом специфики своих нужд и потребностей самостоятельно устанавливает необходимые требования в отношении показателей характеристик объекта закупки (письмо Минфина России от 24 января 2022 г. № 24-03-08/4090).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письменных возражениях Заказчика, поддержанных на заседании Комиссии, указано, что описанный стерильный набор и его состав в соответствующей комплектации позволяет оперативно (экстренно) выполнить трахеостамию с минимальным количеством персонала и в минимально кроткое время, что особенно важно в экстренных ситуациях при оказании медицинской помощи для соблюдения прав граждан в сфере охраны здоровья, приоритет интересов пациента, доступность и качество оказания медицинской помощи, что полностью согласовывается с принципами, закрепленными в статье 41 Конституции РФ и статье 4 Федерального закона от 21 ноября 2011 года № 323-ФЗ «Об основах здоровья граждан в Российской Федерации».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Все характеристики товара установлены в соответствии со спецификой деятельности медицинского учреждения, спецификой проведения операции трахеотомии, исходя из опыта работы медицинских работников.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каждая позиция (наименование характеристики) значима для заказчика и используется в едином неотъемлемом процессе - хирургической манипуляции по установке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трахеостомы:</w:t>
      </w:r>
    </w:p>
    <w:tbl>
      <w:tblPr>
        <w:tblOverlap w:val="never"/>
        <w:jc w:val="center"/>
        <w:tblLayout w:type="fixed"/>
      </w:tblPr>
      <w:tblGrid>
        <w:gridCol w:w="2995"/>
        <w:gridCol w:w="1685"/>
        <w:gridCol w:w="5569"/>
      </w:tblGrid>
      <w:tr>
        <w:trPr>
          <w:trHeight w:val="7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Значение характеристи 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Обоснование</w:t>
            </w:r>
          </w:p>
        </w:tc>
      </w:tr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Ершик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для очищения тела трубки и внутренних канюль от биологических жидкостей</w:t>
            </w:r>
          </w:p>
        </w:tc>
      </w:tr>
      <w:tr>
        <w:trPr>
          <w:trHeight w:val="5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Скальпель с защитой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Защита - ограничитель глубины разреза.</w:t>
            </w:r>
          </w:p>
        </w:tc>
      </w:tr>
      <w:tr>
        <w:trPr>
          <w:trHeight w:val="1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6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Пилот-баллон с чёрной несмываемой маркировкой производителя,</w:t>
              <w:tab/>
              <w:t>размера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изделия, типом манжеты и максимальным диаметром манжеты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Манжета надувается с помощью небольшого пилотного баллона. Если он раздут, значит надута и манжета. Баллон имеет клапан для герметизации и место, куда шприцем нагнетается воздух</w:t>
            </w:r>
          </w:p>
        </w:tc>
      </w:tr>
      <w:tr>
        <w:trPr>
          <w:trHeight w:val="17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113" w:val="left"/>
              </w:tabs>
              <w:bidi w:val="0"/>
              <w:spacing w:before="0" w:after="0" w:line="271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Цельнометаллические дилатационные</w:t>
              <w:tab/>
              <w:t>щипцы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Ховарда-Келли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щипцы надеваются на проводник, продвигаются в трахею и раскрываются для расширения передних тканей. Затем щипцы снова надеваются на проводник, как раньше, а затем вводится через претрахеальные ткани. Раскрытие дилатационных щипцов расширяет переднюю трахеальную стенку до размера трахеостомической трубки.</w:t>
            </w:r>
          </w:p>
        </w:tc>
      </w:tr>
      <w:tr>
        <w:trPr>
          <w:trHeight w:val="12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Отверстия для крепления тесьмы фиксации на ушках фланца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Предварительно присоединенная к крыльям трубки лента позволяет быстро зафиксировать трубку на шее. Гибкий фланец для крепления ленты принимает форму шеи пациента, не позволяет самопроизвольному извлечению.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85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Количество</w:t>
              <w:tab/>
              <w:t>марлевых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салфеток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ru-RU" w:eastAsia="ru-RU" w:bidi="ru-RU"/>
              </w:rPr>
              <w:t>&gt; ю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Использование как впитывающего кровь материала на каждом этапе установки трубки.</w:t>
            </w:r>
          </w:p>
        </w:tc>
      </w:tr>
      <w:tr>
        <w:trPr>
          <w:trHeight w:val="8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21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Общая</w:t>
              <w:tab/>
              <w:t>длина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трахеостомической трубки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&gt;75 и &lt;77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&gt;80 и &lt;82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&gt; 68 и &lt; 72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 соответствии с анатомическими особенностями пациента.</w:t>
            </w:r>
          </w:p>
        </w:tc>
      </w:tr>
      <w:tr>
        <w:trPr>
          <w:trHeight w:val="276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Деликатная полупрозрачная манжета в форме бублика, резистентная к закиси азота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Манжета представляет собой надуваемое изделие, расположенное почти на конце внешней трубки. Ее основное назначение - это удержать воздух от аппарата ИВЛ, поступающий в легкие. Когда манжета раздувается, то пространство меду трубкой и трахеей закрывается. Это предотвращает утечку воздуха через этот просвет и верхние дыхательные пути. Таким образом, трахеостомические трубки с манжетой просто необходимы при искусственной вентиляции воздуха. Что касается просачивания слизи или пищи (аспирации), то полностью это предотвратить манжета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984"/>
        <w:gridCol w:w="1688"/>
        <w:gridCol w:w="5548"/>
      </w:tblGrid>
      <w:tr>
        <w:trPr>
          <w:trHeight w:val="331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44" w:val="left"/>
                <w:tab w:pos="3920" w:val="left"/>
              </w:tabs>
              <w:bidi w:val="0"/>
              <w:spacing w:before="0" w:after="0" w:line="26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может, но уменьшает их скопление. Надувается с помощью небольшого пилотного баллона голубого цвета. Если он раздут, значит надута и манжета. Баллон имеет клапан для герметизации и место, куда шприцем нагнетается воздух. Мягкая тонкостенная манжета обеспечивает</w:t>
              <w:tab/>
              <w:t>эффективную</w:t>
              <w:tab/>
              <w:t>герметизацию.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Равномерное сдутие и плотное прилегание к трубке, гладкий конец и уплотнитель снижают риск повреждения тканей. При воздействии анестетиков на основе азотсодержащих соединений не позволяет им диффундировать внутрь манжеты, тем самым увеличивая ее объем, и предотвращает повреждения трахеи</w:t>
            </w:r>
          </w:p>
        </w:tc>
      </w:tr>
      <w:tr>
        <w:trPr>
          <w:trHeight w:val="229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Две внутренние канюли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Большинство современных изделий имеют и внутреннюю сменную канюлю для более простого и быстрого извлечения. Такие трубки называются двойными и пользуются гораздо большим спросом, чем одинарные. Внутренние канюли должны быть подходящими по размеру и свободно входить во внешние. Как правило, поставляются в комплекте с основной трубкой. Фиксация внутренних канюль - байонетная (защелкивание)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на заседании Комиссии пояснил, что не располагает информацией о том, какие производители осуществляют производства товара со значимыми для него характеристиками, при описании объекта закупки лечебное учреждение руководствовалось своими потребностями.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обосновании НМЦК использовано 2 (два) коммерческих предложения, приобщенных к материалам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Данная информация Заявителем не опровергнута.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Законодательство в сфере закупок не обязывает заказчика при определении характеристик поставляемого для государственных (муниципальных) нужд товара в описании объекта закупки устанавливать такие характеристики, которые соответствовали бы всем существующим типам, видам, моделям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отмечает, что в жалобе Заявитель не привел фактические доказательства, свидетельствующие о том, что описанию объекта закупки соответствует товар единственного производителя.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соответствии с уведомлением Управления о принятии жалобы к рассмотрению не представил в обоснование своих доводов доказательства, подтверждающие, что описанию объекта закупки соответствует товар единственного производителя (сравнительную таблицу производителей с указанием характеристик изделий с указанием источника исходных данных, инструкции/руководства, письма и производителей и пр.).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отмечает, что бремя доказывания обоснованности довода своей жалобы в силу части 4 статьи 106 Закона о контрактной системе возложена на 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при принятии решения руководствуется документами, представленными сторонами на момент рассмотрения жалобы в антимонопольном органе.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не представлено доказательств того, что установленные Заказчиком требования к медицинскому изделию являются необоснованными, завышенными, незаконно ограничивающими количество возможных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представил убедительных доказательств того, что установленные Заказчиком требования к закупаемому товару свидетельствуют о его конкретном производителе.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Заявителем не предоставлены доказательства наличия каких-либо препятствий в приобретении и поставке медицинских изделий в рамках извещения.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с учетом совокупности представленных документов и установленных обстоятельств Заявитель довод своей жалобы не подтвердил, возражения и пояснения Заказчика не опроверг.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закупке поступило 2 (две) заявки, которые признаны соответствующими требованиям.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Заявитель не представил убедительных доказательств, подтверждающих состоятельность доводов жалобы.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том, что довод жалобы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15 статьи 99 Закона о контрактной системе комиссия Управления провела внеплановую проверку, по результатам которой нарушений при проведении аукциона не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статьями 99, 106 Закона о контрактной системе,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«АМТ» на положения извещения о проведении электронного аукциона на поставку наборов для трахеостомии, одноразового использования (реестровый номер извещения в ЕИС 0830500000224005699)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приостановлении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567" w:val="left"/>
        </w:tabs>
        <w:bidi w:val="0"/>
        <w:spacing w:before="0" w:after="28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</w:t>
        <w:tab/>
        <w:t>О.Н. Сучков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718" w:val="left"/>
        </w:tabs>
        <w:bidi w:val="0"/>
        <w:spacing w:before="0" w:after="28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—</w:t>
      </w:r>
      <w:r>
        <w:rPr>
          <w:color w:val="5057A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&gt;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^14.А. Смышляева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680" w:right="0" w:firstLine="0"/>
        <w:jc w:val="both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margin">
              <wp:posOffset>2186305</wp:posOffset>
            </wp:positionH>
            <wp:positionV relativeFrom="margin">
              <wp:posOffset>4574540</wp:posOffset>
            </wp:positionV>
            <wp:extent cx="3718560" cy="118872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18560" cy="11887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Шпякина</w:t>
      </w:r>
    </w:p>
    <w:sectPr>
      <w:headerReference w:type="default" r:id="rId11"/>
      <w:headerReference w:type="first" r:id="rId12"/>
      <w:footnotePr>
        <w:pos w:val="pageBottom"/>
        <w:numFmt w:val="decimal"/>
        <w:numRestart w:val="continuous"/>
      </w:footnotePr>
      <w:pgSz w:w="11900" w:h="16840"/>
      <w:pgMar w:top="943" w:right="593" w:bottom="1047" w:left="1011" w:header="0" w:footer="3" w:gutter="0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7067550</wp:posOffset>
              </wp:positionH>
              <wp:positionV relativeFrom="page">
                <wp:posOffset>439420</wp:posOffset>
              </wp:positionV>
              <wp:extent cx="54610" cy="9588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6.5pt;margin-top:34.600000000000001pt;width:4.2999999999999998pt;height:7.54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7067550</wp:posOffset>
              </wp:positionH>
              <wp:positionV relativeFrom="page">
                <wp:posOffset>439420</wp:posOffset>
              </wp:positionV>
              <wp:extent cx="54610" cy="9588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56.5pt;margin-top:34.600000000000001pt;width:4.2999999999999998pt;height:7.5499999999999998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Заголовок №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Подпись к таблиц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auto"/>
      <w:spacing w:after="190" w:line="254" w:lineRule="auto"/>
      <w:ind w:left="251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Подпись к таблиц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/Relationships>
</file>