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2899" w:h="451" w:wrap="none" w:hAnchor="page" w:x="1765" w:y="1129"/>
        <w:widowControl w:val="0"/>
        <w:shd w:val="clear" w:color="auto" w:fill="auto"/>
        <w:bidi w:val="0"/>
        <w:spacing w:before="0" w:after="0" w:line="24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r>
    </w:p>
    <w:p>
      <w:pPr>
        <w:pStyle w:val="Style2"/>
        <w:keepNext w:val="0"/>
        <w:keepLines w:val="0"/>
        <w:framePr w:w="2899" w:h="451" w:wrap="none" w:hAnchor="page" w:x="1765" w:y="1129"/>
        <w:widowControl w:val="0"/>
        <w:shd w:val="clear" w:color="auto" w:fill="auto"/>
        <w:bidi w:val="0"/>
        <w:spacing w:before="0" w:after="0" w:line="240" w:lineRule="auto"/>
        <w:ind w:left="0" w:right="0" w:firstLine="0"/>
        <w:jc w:val="center"/>
        <w:rPr>
          <w:sz w:val="17"/>
          <w:szCs w:val="17"/>
        </w:rPr>
      </w:pPr>
      <w:r>
        <w:rPr>
          <w:b/>
          <w:bCs/>
          <w:spacing w:val="0"/>
          <w:w w:val="100"/>
          <w:position w:val="0"/>
          <w:sz w:val="17"/>
          <w:szCs w:val="17"/>
          <w:shd w:val="clear" w:color="auto" w:fill="auto"/>
          <w:lang w:val="ru-RU" w:eastAsia="ru-RU" w:bidi="ru-RU"/>
        </w:rPr>
        <w:t>АНТИМОНОПОЛЬНАЯ СЛУЖБА</w:t>
      </w:r>
    </w:p>
    <w:p>
      <w:pPr>
        <w:pStyle w:val="Style5"/>
        <w:keepNext w:val="0"/>
        <w:keepLines w:val="0"/>
        <w:framePr w:w="3538" w:h="696" w:wrap="none" w:hAnchor="page" w:x="1453" w:y="1734"/>
        <w:widowControl w:val="0"/>
        <w:shd w:val="clear" w:color="auto" w:fill="auto"/>
        <w:bidi w:val="0"/>
        <w:spacing w:before="0" w:after="0" w:line="240" w:lineRule="auto"/>
        <w:ind w:left="0" w:right="0" w:firstLine="0"/>
        <w:jc w:val="center"/>
      </w:pPr>
      <w:r>
        <w:rPr>
          <w:b/>
          <w:bCs/>
          <w:color w:val="4A6294"/>
          <w:spacing w:val="0"/>
          <w:w w:val="100"/>
          <w:position w:val="0"/>
          <w:shd w:val="clear" w:color="auto" w:fill="auto"/>
          <w:lang w:val="ru-RU" w:eastAsia="ru-RU" w:bidi="ru-RU"/>
        </w:rPr>
        <w:t>УПРАВЛЕНИЕ</w:t>
        <w:br/>
        <w:t>Федеральной антимонопольной службы</w:t>
        <w:br/>
        <w:t>по Смоленской области</w:t>
      </w:r>
    </w:p>
    <w:p>
      <w:pPr>
        <w:pStyle w:val="Style2"/>
        <w:keepNext w:val="0"/>
        <w:keepLines w:val="0"/>
        <w:framePr w:w="4138" w:h="1565" w:wrap="none" w:hAnchor="page" w:x="1141" w:y="2809"/>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Октябрьской Революции, 14а, г. Смоленск, 214000</w:t>
        <w:br/>
        <w:t>тел.(4812) 38-62-22, факс (4812) 38-62-22</w:t>
        <w:br/>
        <w:t xml:space="preserve">е-таП: </w:t>
      </w:r>
      <w:r>
        <w:fldChar w:fldCharType="begin"/>
      </w:r>
      <w:r>
        <w:rPr/>
        <w:instrText> HYPERLINK "mailto:to67@fas.gov.ru" </w:instrText>
      </w:r>
      <w:r>
        <w:fldChar w:fldCharType="separate"/>
      </w:r>
      <w:r>
        <w:rPr>
          <w:spacing w:val="0"/>
          <w:w w:val="100"/>
          <w:position w:val="0"/>
          <w:shd w:val="clear" w:color="auto" w:fill="auto"/>
          <w:lang w:val="ru-RU" w:eastAsia="ru-RU" w:bidi="ru-RU"/>
        </w:rPr>
        <w:t xml:space="preserve">1о67@Гаа. </w:t>
      </w:r>
      <w:r>
        <w:rPr>
          <w:smallCaps/>
          <w:spacing w:val="0"/>
          <w:w w:val="100"/>
          <w:position w:val="0"/>
          <w:shd w:val="clear" w:color="auto" w:fill="auto"/>
          <w:lang w:val="ru-RU" w:eastAsia="ru-RU" w:bidi="ru-RU"/>
        </w:rPr>
        <w:t>цоу.гн</w:t>
      </w:r>
      <w:r>
        <w:fldChar w:fldCharType="end"/>
      </w:r>
    </w:p>
    <w:p>
      <w:pPr>
        <w:pStyle w:val="Style9"/>
        <w:keepNext/>
        <w:keepLines/>
        <w:framePr w:w="4138" w:h="1565" w:wrap="none" w:hAnchor="page" w:x="1141" w:y="2809"/>
        <w:widowControl w:val="0"/>
        <w:shd w:val="clear" w:color="auto" w:fill="auto"/>
        <w:bidi w:val="0"/>
        <w:spacing w:before="0" w:line="240" w:lineRule="auto"/>
        <w:ind w:left="0" w:right="0" w:firstLine="0"/>
        <w:jc w:val="left"/>
      </w:pPr>
      <w:bookmarkStart w:id="0" w:name="bookmark0"/>
      <w:r>
        <w:rPr>
          <w:color w:val="000000"/>
          <w:spacing w:val="0"/>
          <w:w w:val="100"/>
          <w:position w:val="0"/>
          <w:shd w:val="clear" w:color="auto" w:fill="auto"/>
          <w:lang w:val="ru-RU" w:eastAsia="ru-RU" w:bidi="ru-RU"/>
        </w:rPr>
        <w:t>28.01.2025</w:t>
      </w:r>
      <w:r>
        <w:rPr>
          <w:color w:val="000000"/>
          <w:spacing w:val="0"/>
          <w:w w:val="100"/>
          <w:position w:val="0"/>
          <w:u w:val="none"/>
          <w:shd w:val="clear" w:color="auto" w:fill="auto"/>
          <w:lang w:val="ru-RU" w:eastAsia="ru-RU" w:bidi="ru-RU"/>
        </w:rPr>
        <w:t xml:space="preserve"> К2 </w:t>
      </w:r>
      <w:r>
        <w:rPr>
          <w:color w:val="000000"/>
          <w:spacing w:val="0"/>
          <w:w w:val="100"/>
          <w:position w:val="0"/>
          <w:shd w:val="clear" w:color="auto" w:fill="auto"/>
          <w:lang w:val="ru-RU" w:eastAsia="ru-RU" w:bidi="ru-RU"/>
        </w:rPr>
        <w:t>ВШ/427/25</w:t>
      </w:r>
      <w:bookmarkEnd w:id="0"/>
    </w:p>
    <w:p>
      <w:pPr>
        <w:pStyle w:val="Style5"/>
        <w:keepNext w:val="0"/>
        <w:keepLines w:val="0"/>
        <w:framePr w:w="4138" w:h="1565" w:wrap="none" w:hAnchor="page" w:x="1141" w:y="2809"/>
        <w:widowControl w:val="0"/>
        <w:shd w:val="clear" w:color="auto" w:fill="auto"/>
        <w:bidi w:val="0"/>
        <w:spacing w:before="0" w:after="160" w:line="240" w:lineRule="auto"/>
        <w:ind w:left="0" w:right="0" w:firstLine="0"/>
        <w:jc w:val="left"/>
      </w:pPr>
      <w:r>
        <w:rPr>
          <w:color w:val="4A6294"/>
          <w:spacing w:val="0"/>
          <w:w w:val="100"/>
          <w:position w:val="0"/>
          <w:shd w:val="clear" w:color="auto" w:fill="auto"/>
          <w:lang w:val="ru-RU" w:eastAsia="ru-RU" w:bidi="ru-RU"/>
        </w:rPr>
        <w:t xml:space="preserve">На№  </w:t>
      </w:r>
      <w:r>
        <w:rPr>
          <w:color w:val="848996"/>
          <w:spacing w:val="0"/>
          <w:w w:val="100"/>
          <w:position w:val="0"/>
          <w:shd w:val="clear" w:color="auto" w:fill="auto"/>
          <w:lang w:val="ru-RU" w:eastAsia="ru-RU" w:bidi="ru-RU"/>
        </w:rPr>
        <w:t>иг</w:t>
      </w:r>
    </w:p>
    <w:p>
      <w:pPr>
        <w:pStyle w:val="Style14"/>
        <w:keepNext/>
        <w:keepLines/>
        <w:framePr w:w="4891" w:h="4046" w:wrap="none" w:hAnchor="page" w:x="6406" w:y="903"/>
        <w:widowControl w:val="0"/>
        <w:shd w:val="clear" w:color="auto" w:fill="auto"/>
        <w:bidi w:val="0"/>
        <w:spacing w:before="0" w:after="0" w:line="240" w:lineRule="auto"/>
        <w:ind w:left="0" w:right="0" w:firstLine="0"/>
        <w:jc w:val="both"/>
      </w:pPr>
      <w:bookmarkStart w:id="2" w:name="bookmark2"/>
      <w:r>
        <w:rPr>
          <w:color w:val="000000"/>
          <w:spacing w:val="0"/>
          <w:w w:val="100"/>
          <w:position w:val="0"/>
          <w:shd w:val="clear" w:color="auto" w:fill="auto"/>
          <w:lang w:val="ru-RU" w:eastAsia="ru-RU" w:bidi="ru-RU"/>
        </w:rPr>
        <w:t>Аукционная комиссия,</w:t>
      </w:r>
      <w:bookmarkEnd w:id="2"/>
    </w:p>
    <w:p>
      <w:pPr>
        <w:pStyle w:val="Style14"/>
        <w:keepNext/>
        <w:keepLines/>
        <w:framePr w:w="4891" w:h="4046" w:wrap="none" w:hAnchor="page" w:x="6406" w:y="903"/>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Государственный заказчик:</w:t>
      </w:r>
    </w:p>
    <w:p>
      <w:pPr>
        <w:pStyle w:val="Style16"/>
        <w:keepNext w:val="0"/>
        <w:keepLines w:val="0"/>
        <w:framePr w:w="4891" w:h="4046" w:wrap="none" w:hAnchor="page" w:x="6406" w:y="903"/>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ФГБУЗ «МСЧ № 135 ФМБА»</w:t>
      </w:r>
    </w:p>
    <w:p>
      <w:pPr>
        <w:pStyle w:val="Style5"/>
        <w:keepNext w:val="0"/>
        <w:keepLines w:val="0"/>
        <w:framePr w:w="4891" w:h="4046" w:wrap="none" w:hAnchor="page" w:x="6406" w:y="903"/>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мкр. 6, г. Десногорск, Смоленская обл., 216400</w:t>
      </w:r>
    </w:p>
    <w:p>
      <w:pPr>
        <w:pStyle w:val="Style5"/>
        <w:keepNext w:val="0"/>
        <w:keepLines w:val="0"/>
        <w:framePr w:w="4891" w:h="4046" w:wrap="none" w:hAnchor="page" w:x="6406" w:y="903"/>
        <w:widowControl w:val="0"/>
        <w:shd w:val="clear" w:color="auto" w:fill="auto"/>
        <w:bidi w:val="0"/>
        <w:spacing w:before="0" w:after="260"/>
        <w:ind w:left="0" w:right="0" w:firstLine="0"/>
        <w:jc w:val="left"/>
      </w:pPr>
      <w:r>
        <w:rPr>
          <w:color w:val="000000"/>
          <w:spacing w:val="0"/>
          <w:w w:val="100"/>
          <w:position w:val="0"/>
          <w:shd w:val="clear" w:color="auto" w:fill="auto"/>
          <w:lang w:val="ru-RU" w:eastAsia="ru-RU" w:bidi="ru-RU"/>
        </w:rPr>
        <w:t xml:space="preserve">011118135 </w:t>
      </w:r>
      <w:r>
        <w:rPr>
          <w:i/>
          <w:iCs/>
          <w:color w:val="000000"/>
          <w:spacing w:val="0"/>
          <w:w w:val="100"/>
          <w:position w:val="0"/>
          <w:shd w:val="clear" w:color="auto" w:fill="auto"/>
          <w:lang w:val="ru-RU" w:eastAsia="ru-RU" w:bidi="ru-RU"/>
        </w:rPr>
        <w:t>а</w:t>
      </w:r>
      <w:r>
        <w:rPr>
          <w:color w:val="000000"/>
          <w:spacing w:val="0"/>
          <w:w w:val="100"/>
          <w:position w:val="0"/>
          <w:shd w:val="clear" w:color="auto" w:fill="auto"/>
          <w:lang w:val="ru-RU" w:eastAsia="ru-RU" w:bidi="ru-RU"/>
        </w:rPr>
        <w:t xml:space="preserve"> таП.гн</w:t>
      </w:r>
    </w:p>
    <w:p>
      <w:pPr>
        <w:pStyle w:val="Style14"/>
        <w:keepNext/>
        <w:keepLines/>
        <w:framePr w:w="4891" w:h="4046" w:wrap="none" w:hAnchor="page" w:x="6406" w:y="903"/>
        <w:widowControl w:val="0"/>
        <w:shd w:val="clear" w:color="auto" w:fill="auto"/>
        <w:bidi w:val="0"/>
        <w:spacing w:before="0" w:after="0" w:line="240" w:lineRule="auto"/>
        <w:ind w:left="0" w:right="0" w:firstLine="0"/>
        <w:jc w:val="left"/>
      </w:pPr>
      <w:bookmarkStart w:id="5" w:name="bookmark5"/>
      <w:r>
        <w:rPr>
          <w:color w:val="000000"/>
          <w:spacing w:val="0"/>
          <w:w w:val="100"/>
          <w:position w:val="0"/>
          <w:shd w:val="clear" w:color="auto" w:fill="auto"/>
          <w:lang w:val="ru-RU" w:eastAsia="ru-RU" w:bidi="ru-RU"/>
        </w:rPr>
        <w:t>Заявитель:</w:t>
      </w:r>
      <w:bookmarkEnd w:id="5"/>
    </w:p>
    <w:p>
      <w:pPr>
        <w:pStyle w:val="Style16"/>
        <w:keepNext w:val="0"/>
        <w:keepLines w:val="0"/>
        <w:framePr w:w="4891" w:h="4046" w:wrap="none" w:hAnchor="page" w:x="6406" w:y="90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«МЕД-Х»</w:t>
      </w:r>
    </w:p>
    <w:p>
      <w:pPr>
        <w:pStyle w:val="Style5"/>
        <w:keepNext w:val="0"/>
        <w:keepLines w:val="0"/>
        <w:framePr w:w="4891" w:h="4046" w:wrap="none" w:hAnchor="page" w:x="6406" w:y="903"/>
        <w:widowControl w:val="0"/>
        <w:shd w:val="clear" w:color="auto" w:fill="auto"/>
        <w:tabs>
          <w:tab w:pos="3120" w:val="left"/>
        </w:tabs>
        <w:bidi w:val="0"/>
        <w:spacing w:before="0" w:after="0"/>
        <w:ind w:left="0" w:right="0" w:firstLine="0"/>
        <w:jc w:val="left"/>
      </w:pPr>
      <w:r>
        <w:rPr>
          <w:color w:val="000000"/>
          <w:spacing w:val="0"/>
          <w:w w:val="100"/>
          <w:position w:val="0"/>
          <w:shd w:val="clear" w:color="auto" w:fill="auto"/>
          <w:lang w:val="ru-RU" w:eastAsia="ru-RU" w:bidi="ru-RU"/>
        </w:rPr>
        <w:t>пр-т Ленина, д. 147А, кв. 25, г. Барнаул, Алтайский край, 656011</w:t>
        <w:tab/>
        <w:t>’</w:t>
      </w:r>
    </w:p>
    <w:p>
      <w:pPr>
        <w:pStyle w:val="Style5"/>
        <w:keepNext w:val="0"/>
        <w:keepLines w:val="0"/>
        <w:framePr w:w="4891" w:h="4046" w:wrap="none" w:hAnchor="page" w:x="6406" w:y="903"/>
        <w:widowControl w:val="0"/>
        <w:shd w:val="clear" w:color="auto" w:fill="auto"/>
        <w:bidi w:val="0"/>
        <w:spacing w:before="0" w:after="260"/>
        <w:ind w:left="0" w:right="0" w:firstLine="0"/>
        <w:jc w:val="left"/>
      </w:pPr>
      <w:r>
        <w:fldChar w:fldCharType="begin"/>
      </w:r>
      <w:r>
        <w:rPr/>
        <w:instrText> HYPERLINK "mailto:med-x22@ya.ru" </w:instrText>
      </w:r>
      <w:r>
        <w:fldChar w:fldCharType="separate"/>
      </w:r>
      <w:r>
        <w:rPr>
          <w:color w:val="000000"/>
          <w:spacing w:val="0"/>
          <w:w w:val="100"/>
          <w:position w:val="0"/>
          <w:shd w:val="clear" w:color="auto" w:fill="auto"/>
          <w:lang w:val="ru-RU" w:eastAsia="ru-RU" w:bidi="ru-RU"/>
        </w:rPr>
        <w:t>тсс1-х22«уа.ги</w:t>
      </w:r>
      <w:r>
        <w:fldChar w:fldCharType="end"/>
      </w:r>
    </w:p>
    <w:p>
      <w:pPr>
        <w:pStyle w:val="Style14"/>
        <w:keepNext/>
        <w:keepLines/>
        <w:framePr w:w="4891" w:h="4046" w:wrap="none" w:hAnchor="page" w:x="6406" w:y="903"/>
        <w:widowControl w:val="0"/>
        <w:shd w:val="clear" w:color="auto" w:fill="auto"/>
        <w:bidi w:val="0"/>
        <w:spacing w:before="0" w:after="0" w:line="240" w:lineRule="auto"/>
        <w:ind w:left="0" w:right="0" w:firstLine="0"/>
        <w:jc w:val="left"/>
      </w:pPr>
      <w:bookmarkStart w:id="7" w:name="bookmark7"/>
      <w:r>
        <w:rPr>
          <w:color w:val="000000"/>
          <w:spacing w:val="0"/>
          <w:w w:val="100"/>
          <w:position w:val="0"/>
          <w:shd w:val="clear" w:color="auto" w:fill="auto"/>
          <w:lang w:val="ru-RU" w:eastAsia="ru-RU" w:bidi="ru-RU"/>
        </w:rPr>
        <w:t>Электронная площадка:</w:t>
      </w:r>
      <w:bookmarkEnd w:id="7"/>
    </w:p>
    <w:p>
      <w:pPr>
        <w:pStyle w:val="Style16"/>
        <w:keepNext w:val="0"/>
        <w:keepLines w:val="0"/>
        <w:framePr w:w="4891" w:h="4046" w:wrap="none" w:hAnchor="page" w:x="6406" w:y="903"/>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АО «Сбербанк-АСТ»</w:t>
      </w:r>
    </w:p>
    <w:p>
      <w:pPr>
        <w:pStyle w:val="Style5"/>
        <w:keepNext w:val="0"/>
        <w:keepLines w:val="0"/>
        <w:framePr w:w="4891" w:h="4046" w:wrap="none" w:hAnchor="page" w:x="6406" w:y="903"/>
        <w:widowControl w:val="0"/>
        <w:shd w:val="clear" w:color="auto" w:fill="auto"/>
        <w:bidi w:val="0"/>
        <w:spacing w:before="0" w:after="140"/>
        <w:ind w:left="0" w:right="0" w:firstLine="0"/>
        <w:jc w:val="left"/>
      </w:pPr>
      <w:r>
        <w:rPr>
          <w:color w:val="000000"/>
          <w:spacing w:val="0"/>
          <w:w w:val="100"/>
          <w:position w:val="0"/>
          <w:shd w:val="clear" w:color="auto" w:fill="auto"/>
          <w:lang w:val="ru-RU" w:eastAsia="ru-RU" w:bidi="ru-RU"/>
        </w:rPr>
        <w:t xml:space="preserve">ко </w:t>
      </w:r>
      <w:r>
        <w:rPr>
          <w:i/>
          <w:iCs/>
          <w:color w:val="000000"/>
          <w:spacing w:val="0"/>
          <w:w w:val="100"/>
          <w:position w:val="0"/>
          <w:shd w:val="clear" w:color="auto" w:fill="auto"/>
          <w:lang w:val="ru-RU" w:eastAsia="ru-RU" w:bidi="ru-RU"/>
        </w:rPr>
        <w:t>а</w:t>
      </w:r>
      <w:r>
        <w:rPr>
          <w:color w:val="000000"/>
          <w:spacing w:val="0"/>
          <w:w w:val="100"/>
          <w:position w:val="0"/>
          <w:shd w:val="clear" w:color="auto" w:fill="auto"/>
          <w:lang w:val="ru-RU" w:eastAsia="ru-RU" w:bidi="ru-RU"/>
        </w:rPr>
        <w:t xml:space="preserve"> 8ЬсгЬапк-а81.п1</w:t>
      </w:r>
    </w:p>
    <w:p>
      <w:pPr>
        <w:pStyle w:val="Style16"/>
        <w:keepNext w:val="0"/>
        <w:keepLines w:val="0"/>
        <w:framePr w:w="946" w:h="298" w:wrap="none" w:hAnchor="page" w:x="1208" w:y="4955"/>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w:t>
      </w:r>
    </w:p>
    <w:p>
      <w:pPr>
        <w:widowControl w:val="0"/>
        <w:spacing w:line="360" w:lineRule="exact"/>
      </w:pPr>
      <w:r>
        <w:drawing>
          <wp:anchor distT="0" distB="0" distL="0" distR="0" simplePos="0" relativeHeight="62914690" behindDoc="1" locked="0" layoutInCell="1" allowOverlap="1">
            <wp:simplePos x="0" y="0"/>
            <wp:positionH relativeFrom="page">
              <wp:posOffset>1778635</wp:posOffset>
            </wp:positionH>
            <wp:positionV relativeFrom="margin">
              <wp:posOffset>0</wp:posOffset>
            </wp:positionV>
            <wp:extent cx="530225" cy="62166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0225" cy="62166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70" w:line="1" w:lineRule="exact"/>
      </w:pP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84" w:right="531" w:bottom="1216" w:left="1082" w:header="0" w:footer="3" w:gutter="0"/>
          <w:pgNumType w:start="1"/>
          <w:cols w:space="720"/>
          <w:noEndnote/>
          <w:titlePg/>
          <w:rtlGutter w:val="0"/>
          <w:docGrid w:linePitch="360"/>
        </w:sectPr>
      </w:pPr>
    </w:p>
    <w:p>
      <w:pPr>
        <w:widowControl w:val="0"/>
        <w:spacing w:line="99" w:lineRule="exact"/>
        <w:rPr>
          <w:sz w:val="8"/>
          <w:szCs w:val="8"/>
        </w:rPr>
      </w:pPr>
    </w:p>
    <w:p>
      <w:pPr>
        <w:widowControl w:val="0"/>
        <w:spacing w:line="1" w:lineRule="exact"/>
        <w:sectPr>
          <w:footnotePr>
            <w:pos w:val="pageBottom"/>
            <w:numFmt w:val="decimal"/>
            <w:numRestart w:val="continuous"/>
          </w:footnotePr>
          <w:type w:val="continuous"/>
          <w:pgSz w:w="11900" w:h="16840"/>
          <w:pgMar w:top="1684" w:right="0" w:bottom="1370" w:left="0" w:header="0" w:footer="3" w:gutter="0"/>
          <w:cols w:space="720"/>
          <w:noEndnote/>
          <w:rtlGutter w:val="0"/>
          <w:docGrid w:linePitch="360"/>
        </w:sectPr>
      </w:pPr>
    </w:p>
    <w:p>
      <w:pPr>
        <w:pStyle w:val="Style14"/>
        <w:keepNext/>
        <w:keepLines/>
        <w:widowControl w:val="0"/>
        <w:shd w:val="clear" w:color="auto" w:fill="auto"/>
        <w:bidi w:val="0"/>
        <w:spacing w:before="0" w:after="0" w:line="240" w:lineRule="auto"/>
        <w:ind w:left="0" w:right="0" w:firstLine="0"/>
        <w:jc w:val="center"/>
      </w:pPr>
      <w:bookmarkStart w:id="9" w:name="bookmark9"/>
      <w:r>
        <w:rPr>
          <w:color w:val="000000"/>
          <w:spacing w:val="0"/>
          <w:w w:val="100"/>
          <w:position w:val="0"/>
          <w:shd w:val="clear" w:color="auto" w:fill="auto"/>
          <w:lang w:val="ru-RU" w:eastAsia="ru-RU" w:bidi="ru-RU"/>
        </w:rPr>
        <w:t>РЕШЕНИЕ</w:t>
      </w:r>
      <w:bookmarkEnd w:id="9"/>
    </w:p>
    <w:p>
      <w:pPr>
        <w:pStyle w:val="Style16"/>
        <w:keepNext w:val="0"/>
        <w:keepLines w:val="0"/>
        <w:widowControl w:val="0"/>
        <w:shd w:val="clear" w:color="auto" w:fill="auto"/>
        <w:bidi w:val="0"/>
        <w:spacing w:before="0" w:after="300" w:line="240" w:lineRule="auto"/>
        <w:ind w:left="0" w:right="0" w:firstLine="0"/>
        <w:jc w:val="center"/>
      </w:pPr>
      <w:r>
        <w:rPr>
          <w:color w:val="000000"/>
          <w:spacing w:val="0"/>
          <w:w w:val="100"/>
          <w:position w:val="0"/>
          <w:shd w:val="clear" w:color="auto" w:fill="auto"/>
          <w:lang w:val="ru-RU" w:eastAsia="ru-RU" w:bidi="ru-RU"/>
        </w:rPr>
        <w:t>по делу № 067/06/48-57/2025 о нарушении</w:t>
        <w:br/>
        <w:t>законодательства Российской Федерации о контрактной системе</w:t>
      </w:r>
    </w:p>
    <w:p>
      <w:pPr>
        <w:pStyle w:val="Style16"/>
        <w:keepNext w:val="0"/>
        <w:keepLines w:val="0"/>
        <w:widowControl w:val="0"/>
        <w:shd w:val="clear" w:color="auto" w:fill="auto"/>
        <w:bidi w:val="0"/>
        <w:spacing w:before="0" w:after="30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6130925</wp:posOffset>
                </wp:positionH>
                <wp:positionV relativeFrom="paragraph">
                  <wp:posOffset>12700</wp:posOffset>
                </wp:positionV>
                <wp:extent cx="859790" cy="204470"/>
                <wp:wrapSquare wrapText="left"/>
                <wp:docPr id="9" name="Shape 9"/>
                <a:graphic xmlns:a="http://schemas.openxmlformats.org/drawingml/2006/main">
                  <a:graphicData uri="http://schemas.microsoft.com/office/word/2010/wordprocessingShape">
                    <wps:wsp>
                      <wps:cNvSpPr txBox="1"/>
                      <wps:spPr>
                        <a:xfrm>
                          <a:ext cx="859790" cy="20447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г. Смоленск</w:t>
                            </w:r>
                          </w:p>
                        </w:txbxContent>
                      </wps:txbx>
                      <wps:bodyPr wrap="none" lIns="0" tIns="0" rIns="0" bIns="0">
                        <a:noAutoFit/>
                      </wps:bodyPr>
                    </wps:wsp>
                  </a:graphicData>
                </a:graphic>
              </wp:anchor>
            </w:drawing>
          </mc:Choice>
          <mc:Fallback>
            <w:pict>
              <v:shape id="_x0000_s1035" type="#_x0000_t202" style="position:absolute;margin-left:482.75pt;margin-top:1.pt;width:67.700000000000003pt;height:16.100000000000001pt;z-index:-125829375;mso-wrap-distance-left:9.pt;mso-wrap-distance-right: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г. Смоленск</w:t>
                      </w:r>
                    </w:p>
                  </w:txbxContent>
                </v:textbox>
                <w10:wrap type="square" side="left" anchorx="page"/>
              </v:shape>
            </w:pict>
          </mc:Fallback>
        </mc:AlternateContent>
      </w:r>
      <w:r>
        <w:rPr>
          <w:color w:val="000000"/>
          <w:spacing w:val="0"/>
          <w:w w:val="100"/>
          <w:position w:val="0"/>
          <w:shd w:val="clear" w:color="auto" w:fill="auto"/>
          <w:lang w:val="ru-RU" w:eastAsia="ru-RU" w:bidi="ru-RU"/>
        </w:rPr>
        <w:t>23 января 2025 года</w:t>
      </w:r>
    </w:p>
    <w:p>
      <w:pPr>
        <w:pStyle w:val="Style23"/>
        <w:keepNext w:val="0"/>
        <w:keepLines w:val="0"/>
        <w:widowControl w:val="0"/>
        <w:shd w:val="clear" w:color="auto" w:fill="auto"/>
        <w:bidi w:val="0"/>
        <w:spacing w:before="0" w:after="0" w:line="240" w:lineRule="auto"/>
        <w:ind w:left="29" w:right="0" w:firstLine="0"/>
        <w:jc w:val="left"/>
      </w:pPr>
      <w:r>
        <w:rPr>
          <w:color w:val="000000"/>
          <w:spacing w:val="0"/>
          <w:w w:val="100"/>
          <w:position w:val="0"/>
          <w:shd w:val="clear" w:color="auto" w:fill="auto"/>
          <w:lang w:val="ru-RU" w:eastAsia="ru-RU" w:bidi="ru-RU"/>
        </w:rPr>
        <w:t>Комиссия Смоленского УФАС России по контролю в сфере закупок (далее - Комиссия) в следующем составе:</w:t>
      </w:r>
    </w:p>
    <w:tbl>
      <w:tblPr>
        <w:tblOverlap w:val="never"/>
        <w:jc w:val="center"/>
        <w:tblLayout w:type="fixed"/>
      </w:tblPr>
      <w:tblGrid>
        <w:gridCol w:w="4978"/>
        <w:gridCol w:w="5299"/>
      </w:tblGrid>
      <w:tr>
        <w:trPr>
          <w:trHeight w:val="1507" w:hRule="exact"/>
        </w:trPr>
        <w:tc>
          <w:tcPr>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Заместитель</w:t>
            </w:r>
          </w:p>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председателя Комиссии:</w:t>
            </w:r>
          </w:p>
        </w:tc>
        <w:tc>
          <w:tcPr>
            <w:tcBorders/>
            <w:shd w:val="clear" w:color="auto" w:fill="auto"/>
            <w:vAlign w:val="bottom"/>
          </w:tcPr>
          <w:p>
            <w:pPr>
              <w:pStyle w:val="Style25"/>
              <w:keepNext w:val="0"/>
              <w:keepLines w:val="0"/>
              <w:widowControl w:val="0"/>
              <w:shd w:val="clear" w:color="auto" w:fill="auto"/>
              <w:bidi w:val="0"/>
              <w:spacing w:before="0" w:after="0" w:line="240" w:lineRule="auto"/>
              <w:ind w:left="920" w:right="0" w:firstLine="0"/>
              <w:jc w:val="both"/>
            </w:pPr>
            <w:r>
              <w:rPr>
                <w:color w:val="000000"/>
                <w:spacing w:val="0"/>
                <w:w w:val="100"/>
                <w:position w:val="0"/>
                <w:shd w:val="clear" w:color="auto" w:fill="auto"/>
                <w:lang w:val="ru-RU" w:eastAsia="ru-RU" w:bidi="ru-RU"/>
              </w:rPr>
              <w:t>- начальник отдела контроля закупок и антимонопольного контроля органов власти Смоленского УФАС России;</w:t>
            </w:r>
          </w:p>
        </w:tc>
      </w:tr>
      <w:tr>
        <w:trPr>
          <w:trHeight w:val="2395" w:hRule="exact"/>
        </w:trPr>
        <w:tc>
          <w:tcPr>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c>
        <w:tc>
          <w:tcPr>
            <w:tcBorders/>
            <w:shd w:val="clear" w:color="auto" w:fill="auto"/>
            <w:vAlign w:val="bottom"/>
          </w:tcPr>
          <w:p>
            <w:pPr>
              <w:pStyle w:val="Style25"/>
              <w:keepNext w:val="0"/>
              <w:keepLines w:val="0"/>
              <w:widowControl w:val="0"/>
              <w:numPr>
                <w:ilvl w:val="0"/>
                <w:numId w:val="1"/>
              </w:numPr>
              <w:shd w:val="clear" w:color="auto" w:fill="auto"/>
              <w:tabs>
                <w:tab w:pos="1635" w:val="left"/>
              </w:tabs>
              <w:bidi w:val="0"/>
              <w:spacing w:before="0" w:after="0" w:line="240" w:lineRule="auto"/>
              <w:ind w:left="920" w:right="0" w:firstLine="0"/>
              <w:jc w:val="both"/>
            </w:pPr>
            <w:r>
              <w:rPr>
                <w:color w:val="000000"/>
                <w:spacing w:val="0"/>
                <w:w w:val="100"/>
                <w:position w:val="0"/>
                <w:shd w:val="clear" w:color="auto" w:fill="auto"/>
                <w:lang w:val="ru-RU" w:eastAsia="ru-RU" w:bidi="ru-RU"/>
              </w:rPr>
              <w:t>специалист-эксперт отдела контроля закупок и антимонопольного контроля органов власти Смоленского УФАС России;</w:t>
            </w:r>
          </w:p>
          <w:p>
            <w:pPr>
              <w:pStyle w:val="Style25"/>
              <w:keepNext w:val="0"/>
              <w:keepLines w:val="0"/>
              <w:widowControl w:val="0"/>
              <w:numPr>
                <w:ilvl w:val="0"/>
                <w:numId w:val="1"/>
              </w:numPr>
              <w:shd w:val="clear" w:color="auto" w:fill="auto"/>
              <w:tabs>
                <w:tab w:pos="1635" w:val="left"/>
              </w:tabs>
              <w:bidi w:val="0"/>
              <w:spacing w:before="0" w:after="0" w:line="240" w:lineRule="auto"/>
              <w:ind w:left="920" w:right="0" w:firstLine="0"/>
              <w:jc w:val="both"/>
            </w:pPr>
            <w:r>
              <w:rPr>
                <w:color w:val="000000"/>
                <w:spacing w:val="0"/>
                <w:w w:val="100"/>
                <w:position w:val="0"/>
                <w:shd w:val="clear" w:color="auto" w:fill="auto"/>
                <w:lang w:val="ru-RU" w:eastAsia="ru-RU" w:bidi="ru-RU"/>
              </w:rPr>
              <w:t>специалист-эксперт отдела контроля закупок и антимонопольного контроля органов власти Смоленского УФАС России,</w:t>
            </w:r>
          </w:p>
        </w:tc>
      </w:tr>
    </w:tbl>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 участии в дистанционном режиме рассмотрения жалобы представителей:</w:t>
      </w:r>
    </w:p>
    <w:p>
      <w:pPr>
        <w:pStyle w:val="Style16"/>
        <w:keepNext w:val="0"/>
        <w:keepLines w:val="0"/>
        <w:widowControl w:val="0"/>
        <w:numPr>
          <w:ilvl w:val="0"/>
          <w:numId w:val="3"/>
        </w:numPr>
        <w:shd w:val="clear" w:color="auto" w:fill="auto"/>
        <w:tabs>
          <w:tab w:pos="100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заказчика: Синген З.А. (доверенность № 01/25 22.01.2025);</w:t>
      </w:r>
    </w:p>
    <w:p>
      <w:pPr>
        <w:pStyle w:val="Style16"/>
        <w:keepNext w:val="0"/>
        <w:keepLines w:val="0"/>
        <w:widowControl w:val="0"/>
        <w:numPr>
          <w:ilvl w:val="0"/>
          <w:numId w:val="3"/>
        </w:numPr>
        <w:shd w:val="clear" w:color="auto" w:fill="auto"/>
        <w:tabs>
          <w:tab w:pos="100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заявителя: Харченко В.А. (доверенность № б/н от 15.01.2025),</w:t>
      </w:r>
    </w:p>
    <w:p>
      <w:pPr>
        <w:pStyle w:val="Style16"/>
        <w:keepNext w:val="0"/>
        <w:keepLines w:val="0"/>
        <w:widowControl w:val="0"/>
        <w:shd w:val="clear" w:color="auto" w:fill="auto"/>
        <w:bidi w:val="0"/>
        <w:spacing w:before="0" w:after="300" w:line="240" w:lineRule="auto"/>
        <w:ind w:left="0" w:right="0" w:firstLine="740"/>
        <w:jc w:val="both"/>
      </w:pPr>
      <w:r>
        <w:rPr>
          <w:color w:val="000000"/>
          <w:spacing w:val="0"/>
          <w:w w:val="100"/>
          <w:position w:val="0"/>
          <w:shd w:val="clear" w:color="auto" w:fill="auto"/>
          <w:lang w:val="ru-RU" w:eastAsia="ru-RU" w:bidi="ru-RU"/>
        </w:rPr>
        <w:t>рассмотрев в соответствии с пунктом 2 постановления Правительства Российской Федерации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пунктами 6.1.9, 7.7-7.8 Положения о</w:t>
      </w:r>
    </w:p>
    <w:p>
      <w:pPr>
        <w:pStyle w:val="Style27"/>
        <w:keepNext/>
        <w:keepLines/>
        <w:widowControl w:val="0"/>
        <w:shd w:val="clear" w:color="auto" w:fill="auto"/>
        <w:bidi w:val="0"/>
        <w:spacing w:before="0" w:after="280" w:line="240" w:lineRule="auto"/>
        <w:ind w:left="0" w:right="0" w:firstLine="0"/>
        <w:jc w:val="left"/>
        <w:rPr>
          <w:sz w:val="26"/>
          <w:szCs w:val="26"/>
        </w:rPr>
      </w:pPr>
      <w:bookmarkStart w:id="11" w:name="bookmark11"/>
      <w:r>
        <w:rPr>
          <w:color w:val="000000"/>
          <w:spacing w:val="0"/>
          <w:w w:val="100"/>
          <w:position w:val="0"/>
          <w:sz w:val="48"/>
          <w:szCs w:val="48"/>
          <w:shd w:val="clear" w:color="auto" w:fill="auto"/>
          <w:lang w:val="ru-RU" w:eastAsia="ru-RU" w:bidi="ru-RU"/>
        </w:rPr>
        <w:t>111111111111111111111111</w:t>
      </w:r>
      <w:bookmarkEnd w:id="11"/>
      <w:r>
        <w:rPr>
          <w:color w:val="000000"/>
          <w:spacing w:val="0"/>
          <w:w w:val="100"/>
          <w:position w:val="0"/>
          <w:sz w:val="48"/>
          <w:szCs w:val="48"/>
          <w:shd w:val="clear" w:color="auto" w:fill="auto"/>
          <w:lang w:val="ru-RU" w:eastAsia="ru-RU" w:bidi="ru-RU"/>
        </w:rPr>
        <w:t xml:space="preserve"> </w:t>
      </w:r>
      <w:r>
        <w:rPr>
          <w:rStyle w:val="CharStyle17"/>
        </w:rPr>
        <w:t>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приказом ФАС России от 11.02.2014 № 75/14 и приказом Смоленского УФАС России от 20.08.2024 № 117/24, в дистанционном режиме жалобу Общества с ограниченной ответственностью «МЕД-Х» (далее - Заявитель) и проведя внеплановую проверку,</w:t>
      </w:r>
    </w:p>
    <w:p>
      <w:pPr>
        <w:pStyle w:val="Style16"/>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Смоленское УФАС России 16.01.2025 поступила жалоба ООО «МЕД-Х» на неправомерные действия аукционной комиссии при проведении электронного аукциона: «Поставка изделий медицинского назначения (пробирки вакуумные)» (извещение № 0363100013524000254), которые выразились в недопуске участника закупки, предоставившего недостоверные сведения в отношении ряда показателей: «этикетка прозрачная», «этикетка со штрихкодом», «крышка без резьбовая, двух компонентная».</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Государственным заказчиком по данному электронному аукциону является Федеральное государственное бюджетное учреждение здравоохранения «Медико</w:t>
        <w:softHyphen/>
        <w:t>санитарная часть № 135 Федерального медико-биологического агентства» (далее - Заказчик).</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 представил письменные возражения по существу жалобы, с доводами жалобы не согласился.</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момент рассмотрения жалобы контракт Заказчиком не заключен.</w:t>
      </w:r>
    </w:p>
    <w:p>
      <w:pPr>
        <w:pStyle w:val="Style16"/>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В результате изучения представленных документов, рассмотрения доводов жалобы, пояснений сторон, Комиссией установлено следующее.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23.12.2024 Заказчиком на официальном сайте единой информационной системы в сфере закупок </w:t>
      </w:r>
      <w:r>
        <w:fldChar w:fldCharType="begin"/>
      </w:r>
      <w:r>
        <w:rPr/>
        <w:instrText> HYPERLINK "http://www.zakupki.gov.ru" </w:instrText>
      </w:r>
      <w:r>
        <w:fldChar w:fldCharType="separate"/>
      </w:r>
      <w:r>
        <w:rPr>
          <w:color w:val="000000"/>
          <w:spacing w:val="0"/>
          <w:w w:val="100"/>
          <w:position w:val="0"/>
          <w:shd w:val="clear" w:color="auto" w:fill="auto"/>
          <w:lang w:val="ru-RU" w:eastAsia="ru-RU" w:bidi="ru-RU"/>
        </w:rPr>
        <w:t>\у\у\у.хакирк1.§оу.ги</w:t>
      </w:r>
      <w:r>
        <w:fldChar w:fldCharType="end"/>
      </w:r>
      <w:r>
        <w:rPr>
          <w:color w:val="000000"/>
          <w:spacing w:val="0"/>
          <w:w w:val="100"/>
          <w:position w:val="0"/>
          <w:shd w:val="clear" w:color="auto" w:fill="auto"/>
          <w:lang w:val="ru-RU" w:eastAsia="ru-RU" w:bidi="ru-RU"/>
        </w:rPr>
        <w:t xml:space="preserve"> было размещено Извещение № 0363100013524000254 о проведении электронного аукциона.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- 2 328 855,00 руб.</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протоколу подачи ценовых предложений от 10.01.2025 №ЦПА1 на участие в электронном аукционе заявки подали 2 (два) участника закупки, которыми были сделаны следующие ценовые предложения:</w:t>
      </w:r>
    </w:p>
    <w:p>
      <w:pPr>
        <w:pStyle w:val="Style16"/>
        <w:keepNext w:val="0"/>
        <w:keepLines w:val="0"/>
        <w:widowControl w:val="0"/>
        <w:numPr>
          <w:ilvl w:val="0"/>
          <w:numId w:val="3"/>
        </w:numPr>
        <w:shd w:val="clear" w:color="auto" w:fill="auto"/>
        <w:tabs>
          <w:tab w:pos="91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участником с идентификационным номером заявки 196 - 2 119 258,01 руб. (снижение составило 9,50%);</w:t>
      </w:r>
    </w:p>
    <w:p>
      <w:pPr>
        <w:pStyle w:val="Style16"/>
        <w:keepNext w:val="0"/>
        <w:keepLines w:val="0"/>
        <w:widowControl w:val="0"/>
        <w:numPr>
          <w:ilvl w:val="0"/>
          <w:numId w:val="3"/>
        </w:numPr>
        <w:shd w:val="clear" w:color="auto" w:fill="auto"/>
        <w:tabs>
          <w:tab w:pos="92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участником с идентификационным номером заявки 6-2 130 902,29 руб.</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протоколом подведения итогов определения поставщика (подрядчика, исполнителя) от 14.01.2025 №ИЭА1 заявка участника закупки с идентификационным номером 6 признана соответствующей требованиям Извещения, заявка участника закупки с идентификационным номером 196 была отклонена; участник закупки с идентификационным номером 6 получил право заключить контракт.</w:t>
      </w:r>
    </w:p>
    <w:p>
      <w:pPr>
        <w:pStyle w:val="Style16"/>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 xml:space="preserve">В частности, участнику закупки с идентификационным номером 196 (ООО «МЕД- X») отказано в допуске в связи со следующим: </w:t>
      </w:r>
      <w:r>
        <w:rPr>
          <w:i/>
          <w:iCs/>
          <w:color w:val="000000"/>
          <w:spacing w:val="0"/>
          <w:w w:val="100"/>
          <w:position w:val="0"/>
          <w:shd w:val="clear" w:color="auto" w:fill="auto"/>
          <w:lang w:val="ru-RU" w:eastAsia="ru-RU" w:bidi="ru-RU"/>
        </w:rPr>
        <w:t xml:space="preserve">пункт 8 части 12 статьи 48 Закона - выявление недостоверной информации, содержащейся в заявке на участие в закупке (участник, при предоставлении конкретных показателей в следующих характеристиках: 1) «Этикетка прозрачная», 2) «Этикетка с штрихкодом. Данная этикетка имеет </w:t>
      </w:r>
      <w:r>
        <w:rPr>
          <w:i/>
          <w:iCs/>
          <w:color w:val="000000"/>
          <w:spacing w:val="0"/>
          <w:w w:val="100"/>
          <w:position w:val="0"/>
          <w:shd w:val="clear" w:color="auto" w:fill="auto"/>
          <w:lang w:val="ru-RU" w:eastAsia="ru-RU" w:bidi="ru-RU"/>
        </w:rPr>
        <w:t>отрывной дублируемый штрих код и не имеет буквенно-цифрового кода», 3) «Крышка безрезъбовая, двухкомпонентная состоит из пробки, которая вставлена в защитный колпачок...» подтверждает их наличие и соответствие. Однако, при рассмотрении документов, заявленного производителя на официальном сайте Росздравнадзора, а именно фотографических изображений и Инструкции по применению «Пробирки вакуумные МиниМед», информация о наличие и соответствии данных показателей характеристики отсутствует).</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1 статьи 49 Закона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Закона. Заявка также может содержать информацию и документы, предусмотренные подпунктом «д» пункта 2 части 1 статьи 43 Закона.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5 части 1 статьи 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содержащая, в том числе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2 статьи 42 Закона извещение об осуществлении закупки, если иное не предусмотрено Законом, должно содержать следующие электронные документы:</w:t>
      </w:r>
    </w:p>
    <w:p>
      <w:pPr>
        <w:pStyle w:val="Style16"/>
        <w:keepNext w:val="0"/>
        <w:keepLines w:val="0"/>
        <w:widowControl w:val="0"/>
        <w:numPr>
          <w:ilvl w:val="0"/>
          <w:numId w:val="3"/>
        </w:numPr>
        <w:shd w:val="clear" w:color="auto" w:fill="auto"/>
        <w:tabs>
          <w:tab w:pos="92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описание объекта закупки в соответствии со статьей 33 Закона (пункт 1);</w:t>
      </w:r>
    </w:p>
    <w:p>
      <w:pPr>
        <w:pStyle w:val="Style16"/>
        <w:keepNext w:val="0"/>
        <w:keepLines w:val="0"/>
        <w:widowControl w:val="0"/>
        <w:numPr>
          <w:ilvl w:val="0"/>
          <w:numId w:val="3"/>
        </w:numPr>
        <w:shd w:val="clear" w:color="auto" w:fill="auto"/>
        <w:tabs>
          <w:tab w:pos="91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требования к содержанию, составу заявки на участие в закупке в соответствии с Законом и инструкцию по ее заполнению. При этом не допускается установление требований, влекущих за собой ограничение количества участников закупки (пункт 3).</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2 части 1 статьи 43 Закона для участия в конкурентном способе заявка на участие в закупке, если иное не предусмотрено Законом, должна содержать предложение участника закупки в отношении объекта закупки:</w:t>
      </w:r>
    </w:p>
    <w:p>
      <w:pPr>
        <w:pStyle w:val="Style16"/>
        <w:keepNext w:val="0"/>
        <w:keepLines w:val="0"/>
        <w:widowControl w:val="0"/>
        <w:numPr>
          <w:ilvl w:val="0"/>
          <w:numId w:val="5"/>
        </w:numPr>
        <w:shd w:val="clear" w:color="auto" w:fill="auto"/>
        <w:tabs>
          <w:tab w:pos="109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 учетом положений части 2 данной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Закона, товарный знак (при наличии у товара товарного знака);</w:t>
      </w:r>
    </w:p>
    <w:p>
      <w:pPr>
        <w:pStyle w:val="Style16"/>
        <w:keepNext w:val="0"/>
        <w:keepLines w:val="0"/>
        <w:widowControl w:val="0"/>
        <w:numPr>
          <w:ilvl w:val="0"/>
          <w:numId w:val="5"/>
        </w:numPr>
        <w:shd w:val="clear" w:color="auto" w:fill="auto"/>
        <w:tabs>
          <w:tab w:pos="109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данной статьи;</w:t>
      </w:r>
    </w:p>
    <w:p>
      <w:pPr>
        <w:pStyle w:val="Style16"/>
        <w:keepNext w:val="0"/>
        <w:keepLines w:val="0"/>
        <w:widowControl w:val="0"/>
        <w:numPr>
          <w:ilvl w:val="0"/>
          <w:numId w:val="5"/>
        </w:numPr>
        <w:shd w:val="clear" w:color="auto" w:fill="auto"/>
        <w:tabs>
          <w:tab w:pos="109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w:t>
      </w:r>
      <w:r>
        <w:rPr>
          <w:color w:val="000000"/>
          <w:spacing w:val="0"/>
          <w:w w:val="100"/>
          <w:position w:val="0"/>
          <w:shd w:val="clear" w:color="auto" w:fill="auto"/>
          <w:lang w:val="ru-RU" w:eastAsia="ru-RU" w:bidi="ru-RU"/>
        </w:rPr>
        <w:t>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1 части 2 статьи 43 Закона при формировании предложения участника закупки в отношении объекта закупки информация о товаре, предусмотренная подпунктами «а» и «б» пункта 2 части 1 данной статьи, включается в заявку на участие в закупке в случае осуществления закупки товара, в том числе поставляемого заказчику при выполнении закупаемых работ, оказании закупаемых услуг. Информация, предусмотренная подпунктом «а» пункта 2 части 1 данной статьи,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3 статьи 43 Закона требовать от участника закупки представления иных информации и документов, за исключением предусмотренных частями 1 и 2 данной статьи, не допускается.</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5 статьи 43 Закона подача заявки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закупки, документацией о закупке (в случае, если Законом предусмотрена документация о закупке), и в соответствии с заявкой такого участника закупки на участие в закупке.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4 части 4 статьи 49 Закона не позднее одного часа с момента завершения процедуры подачи ценовых предложений оператор электронной площадки направляет заказчику протокол, предусмотренный пунктом 2 данной части, заявки на участие в закупке, а также предусмотренные пунктами 2 и 3 части 6 статьи 43 Закона информацию и документы участников закупки, подавших такие заявки.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17 статьи 24.2 Закона ответственность за недостоверность информации и (или) документов, направленных оператору электронной площадки, оператору специализированной электронной площадки в соответствии с настоящей статьей, за несоответствие указанных информации и (или) документов требованиям, установленным законодательством Российской Федерации, за действия, совершенные на основании указанных информации и (или) документов, несет участник закупки.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5 статьи 49 Закона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w:t>
      </w:r>
    </w:p>
    <w:p>
      <w:pPr>
        <w:pStyle w:val="Style16"/>
        <w:keepNext w:val="0"/>
        <w:keepLines w:val="0"/>
        <w:widowControl w:val="0"/>
        <w:numPr>
          <w:ilvl w:val="0"/>
          <w:numId w:val="7"/>
        </w:numPr>
        <w:shd w:val="clear" w:color="auto" w:fill="auto"/>
        <w:tabs>
          <w:tab w:pos="101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пунктом 4 части 4 данной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1-8 части 12 статьи 48 Закона (подпункт «а»);</w:t>
      </w:r>
    </w:p>
    <w:p>
      <w:pPr>
        <w:pStyle w:val="Style16"/>
        <w:keepNext w:val="0"/>
        <w:keepLines w:val="0"/>
        <w:widowControl w:val="0"/>
        <w:numPr>
          <w:ilvl w:val="0"/>
          <w:numId w:val="7"/>
        </w:numPr>
        <w:shd w:val="clear" w:color="auto" w:fill="auto"/>
        <w:tabs>
          <w:tab w:pos="101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на основании информации, содержащейся в протоколе подачи ценовых предложений, а также результатов рассмотрения, предусмотренного подпунктом «а» данного пункта, присваивают каждой заявке на участие в закупке, признанной соответствующей извещению об осуществлении закупки, порядковый номер в порядке </w:t>
      </w:r>
      <w:r>
        <w:rPr>
          <w:color w:val="000000"/>
          <w:spacing w:val="0"/>
          <w:w w:val="100"/>
          <w:position w:val="0"/>
          <w:shd w:val="clear" w:color="auto" w:fill="auto"/>
          <w:lang w:val="ru-RU" w:eastAsia="ru-RU" w:bidi="ru-RU"/>
        </w:rPr>
        <w:t>возрастания минимального ценового предложения участника закупки, подавшего такую заявку (за исключением случая, предусмотренного пунктом 9 части 3 данной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данной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Закона. Заявке на участие в закупке победителя определения поставщика (подрядчика, исполнителя) присваивается первый номер (подпункт «б»),</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2 части 5 статьи 49 Закона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3 части 5 статьи 48 Закона при рассмотрении первых частей заявок на участие в закупке соответствующая заявка подлежит отклонению в случае выявления недостоверной информации, содержащейся в первой части заявки на участие в закупке.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Случаи, по которым участникам закупки может быть отказано в допуске в участии в закупке закреплены в части 12 статьи 48 Закона, в частности, одним из оснований отклонения заявки участника закупки является предоставление им недостоверных сведений в отношении предлагаемого к поставке товара.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1 статьи 38 Федерального закона от 21.11.2011 № 323-ФЗ «Об основах охраны здоровья граждан в Российской Федерации» (далее - Закон № 323-ФЗ)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Медицинские изделия могут признаваться взаимозаменяемыми, если они сравнимы по функциональному назначению, качественным и техническим характеристикам и способны заменить друг друга.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4 статьи 38 Закона № 323-ФЗ на территории Российской Федерации разрешается обращение медицинских изделий, прошедших государственную регистрацию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Постановлением Правительства РФ от 27.12.2012 № 1416 утверждены правила государственной регистрации медицинских изделий (далее - Правила).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пункту 6 Правил документом, подтверждающим факт государственной </w:t>
      </w:r>
      <w:r>
        <w:rPr>
          <w:color w:val="000000"/>
          <w:spacing w:val="0"/>
          <w:w w:val="100"/>
          <w:position w:val="0"/>
          <w:shd w:val="clear" w:color="auto" w:fill="auto"/>
          <w:lang w:val="ru-RU" w:eastAsia="ru-RU" w:bidi="ru-RU"/>
        </w:rPr>
        <w:t>регистрации медицинского изделия, является регистрационное удостоверение на медицинское изделие (далее - регистрационное удостоверение). Форма регистрационного удостоверения утверждается регистрирующим органом.</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58 Правил регистрирующий орган размещает информацию, связанную с осуществлением государственной регистрации медицинского изделия, внесением изменений в документы, содержащиеся в регистрационном досье, и выдачей дубликата регистрационного удостоверения, на своем официальном сайте в информационно-телекоммуникационной сети «Интернет».</w:t>
      </w:r>
    </w:p>
    <w:p>
      <w:pPr>
        <w:pStyle w:val="Style16"/>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Согласно пункту 9 постановления Правительства РФ от 30.09.2021 № 1650 «Об утверждении Правил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о внесении изменения в перечень нормативных правовых актов и групп нормативных правовых актов Правительства Российской Федерации, нормативных правовых актов, отдельных положений нормативных правовых актов и групп нормативных правовых актов федеральных органов исполнительной власти, правовых актов, отдельных положений правовых актов, групп правовых актов исполнительных и распорядительных органов государственной власти РСФСР и Союза ССР, решений Государственной комиссии по радиочастотам, содержащих обязательные требования, в отношении которых не применяются положения частей 1, 2 и 3 статьи 15 Федерального закона «Об обязательных требованиях в Российской Федерации» а также о признании утратившими силу некоторых актов Правительства Российской Федерации» сведения, содержащиеся в реестре, размещаются на официальном сайте Федеральной службы по надзору в сфере здравоохранения в сети «Интернет». Сведения, содержащиеся в реестре, обновляются ежедневно с сохранением всех редакций реестра.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Объектом закупки является поставка изделий медицинского назначения (пробирки вакуумные).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Описание объекта закупки (далее - Техническое задание), Требования к содержанию, составу заявки на участие в закупке и инструкция по ее заполнению (далее - Требования) содержатся в Извещении о проведении электронного аукциона.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Техническим заданием Заказчиком закупаются:</w:t>
      </w:r>
    </w:p>
    <w:p>
      <w:pPr>
        <w:pStyle w:val="Style16"/>
        <w:keepNext w:val="0"/>
        <w:keepLines w:val="0"/>
        <w:widowControl w:val="0"/>
        <w:numPr>
          <w:ilvl w:val="0"/>
          <w:numId w:val="9"/>
        </w:numPr>
        <w:shd w:val="clear" w:color="auto" w:fill="auto"/>
        <w:tabs>
          <w:tab w:pos="104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пробирка вакуумная для взятия образцов крови ИВД, с активатором свертывания (коды КТРУ 32.50.50.000-00001456, 32.50.50.000-00001483);</w:t>
      </w:r>
    </w:p>
    <w:p>
      <w:pPr>
        <w:pStyle w:val="Style16"/>
        <w:keepNext w:val="0"/>
        <w:keepLines w:val="0"/>
        <w:widowControl w:val="0"/>
        <w:numPr>
          <w:ilvl w:val="0"/>
          <w:numId w:val="9"/>
        </w:numPr>
        <w:shd w:val="clear" w:color="auto" w:fill="auto"/>
        <w:tabs>
          <w:tab w:pos="104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пробирка вакуумная для взятия образцов крови ИВД, с натрия цитратом (коды КТРУ 32.50.50.000-00000959, 32.50.50.000-00002368);</w:t>
      </w:r>
    </w:p>
    <w:p>
      <w:pPr>
        <w:pStyle w:val="Style16"/>
        <w:keepNext w:val="0"/>
        <w:keepLines w:val="0"/>
        <w:widowControl w:val="0"/>
        <w:numPr>
          <w:ilvl w:val="0"/>
          <w:numId w:val="9"/>
        </w:numPr>
        <w:shd w:val="clear" w:color="auto" w:fill="auto"/>
        <w:tabs>
          <w:tab w:pos="104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пробирка вакуумная для взятия образцов крови ИВД, с К2ЭДТА (коды КТРУ 32.50.50.000-00000689, 32.50.50.000-00001094).</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 закупаемым медицинским изделиям установлены следующие неизменяемые характеристики:</w:t>
      </w:r>
    </w:p>
    <w:p>
      <w:pPr>
        <w:pStyle w:val="Style16"/>
        <w:keepNext w:val="0"/>
        <w:keepLines w:val="0"/>
        <w:widowControl w:val="0"/>
        <w:numPr>
          <w:ilvl w:val="0"/>
          <w:numId w:val="11"/>
        </w:numPr>
        <w:shd w:val="clear" w:color="auto" w:fill="auto"/>
        <w:tabs>
          <w:tab w:pos="103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«этикетка прозрачная»;</w:t>
      </w:r>
    </w:p>
    <w:p>
      <w:pPr>
        <w:pStyle w:val="Style16"/>
        <w:keepNext w:val="0"/>
        <w:keepLines w:val="0"/>
        <w:widowControl w:val="0"/>
        <w:numPr>
          <w:ilvl w:val="0"/>
          <w:numId w:val="11"/>
        </w:numPr>
        <w:shd w:val="clear" w:color="auto" w:fill="auto"/>
        <w:tabs>
          <w:tab w:pos="104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«крышка безрезьбовая, двухкомпонентная состоит из пробки, которая вставлена в защитный колпачок»;</w:t>
      </w:r>
    </w:p>
    <w:p>
      <w:pPr>
        <w:pStyle w:val="Style16"/>
        <w:keepNext w:val="0"/>
        <w:keepLines w:val="0"/>
        <w:widowControl w:val="0"/>
        <w:numPr>
          <w:ilvl w:val="0"/>
          <w:numId w:val="11"/>
        </w:numPr>
        <w:shd w:val="clear" w:color="auto" w:fill="auto"/>
        <w:tabs>
          <w:tab w:pos="104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«этикетка с штрихкодом. Данная этикетка имеет отрывной дублируемый штрих код и не имеет буквенно- цифрового кода».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соответствии с подпунктом «а» пункта 2 Требований заявка участника закупки должна содержать предложение участника закупки в отношении объекта закупки с учетом </w:t>
      </w:r>
      <w:r>
        <w:rPr>
          <w:color w:val="000000"/>
          <w:spacing w:val="0"/>
          <w:w w:val="100"/>
          <w:position w:val="0"/>
          <w:shd w:val="clear" w:color="auto" w:fill="auto"/>
          <w:lang w:val="ru-RU" w:eastAsia="ru-RU" w:bidi="ru-RU"/>
        </w:rPr>
        <w:t>положений части 2 статьи 43 Закона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Закона, товарный знак (при наличии у товара товарного знака).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Инструкцией по заполнению заявки на участие в электронном аукционе:</w:t>
      </w:r>
    </w:p>
    <w:p>
      <w:pPr>
        <w:pStyle w:val="Style16"/>
        <w:keepNext w:val="0"/>
        <w:keepLines w:val="0"/>
        <w:widowControl w:val="0"/>
        <w:numPr>
          <w:ilvl w:val="0"/>
          <w:numId w:val="13"/>
        </w:numPr>
        <w:shd w:val="clear" w:color="auto" w:fill="auto"/>
        <w:tabs>
          <w:tab w:pos="99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подача заявки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закупки, и в соответствии с заявкой такого участника закупки на участие в закупке (пункт 3);</w:t>
      </w:r>
    </w:p>
    <w:p>
      <w:pPr>
        <w:pStyle w:val="Style16"/>
        <w:keepNext w:val="0"/>
        <w:keepLines w:val="0"/>
        <w:widowControl w:val="0"/>
        <w:numPr>
          <w:ilvl w:val="0"/>
          <w:numId w:val="13"/>
        </w:numPr>
        <w:shd w:val="clear" w:color="auto" w:fill="auto"/>
        <w:tabs>
          <w:tab w:pos="99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характеристики предлагаемого участником закупки товара должны соответствовать показателям, установленным в описании объекта закупки (пункт 7);</w:t>
      </w:r>
    </w:p>
    <w:p>
      <w:pPr>
        <w:pStyle w:val="Style16"/>
        <w:keepNext w:val="0"/>
        <w:keepLines w:val="0"/>
        <w:widowControl w:val="0"/>
        <w:numPr>
          <w:ilvl w:val="0"/>
          <w:numId w:val="13"/>
        </w:numPr>
        <w:shd w:val="clear" w:color="auto" w:fill="auto"/>
        <w:tabs>
          <w:tab w:pos="99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ответственность за достоверность сведений, указанных в заявке, несет участник закупки (пункт 10).</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Как указано выше, аукционная комиссия при рассмотрении заявок участников закупки осуществляет проверку представленных оператором электронной площадки документов и сведений, приложенных в составе заявки, на их соответствие требованиям Извещения об осуществлении закупки, в том числе Техническому заданию.</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установлено, что участник закупки с идентификационным номером 196 (ООО «МЕД-Х») предложил к поставке товар «Пробирки вакуумные МиниМед по ТУ 32.50.50-024-29508133-2017» (РУ № РЗН 2019/8175 от 27.12.2019) производства ООО «МиниМед»; страна происхождения товара: Российская Федерация.</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структурированной форме заявки участник указал все характеристики (включая спорные), соответствующие Техническому заданию. Однако, согласно сведениям, размещенным на сайте Росздравнадзора, предлагаемое к поставке медицинское изделие с РУ № РЗН 2019/8175 от 27.12.2019 имеет бумажную непрозрачную этикетку белого цвета (необходима прозрачная этикетка), этикетку с буквенно-цифровым кодом (необходима этикетка с отрывным дублируемым штрих код), следовательно, информация, указанная Заявителем в заявке, не соответствует информации, размещенной в реестре медицинских изделий.</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заявка не соответствовала требованиям Извещения и подлежала отклонению. Нарушений в действиях комиссии не установлено.</w:t>
      </w:r>
    </w:p>
    <w:p>
      <w:pPr>
        <w:pStyle w:val="Style16"/>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В связи с вышеуказанным, жалоба Заявителя признается необоснованной.</w:t>
      </w:r>
    </w:p>
    <w:p>
      <w:pPr>
        <w:pStyle w:val="Style16"/>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На основании изложенного и руководствуясь частью 8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Смоленского УФАС России по контролю в сфере закупок</w:t>
      </w:r>
    </w:p>
    <w:p>
      <w:pPr>
        <w:pStyle w:val="Style16"/>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РЕШИЛА:</w:t>
      </w:r>
    </w:p>
    <w:p>
      <w:pPr>
        <w:pStyle w:val="Style16"/>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Признать жалобу Общества с ограниченной ответственностью «МЕД-Х» на действия аукционной комиссии, государственного заказчика - Федерального государственного бюджетного учреждения здравоохранения «Медико-санитарная часть № 135 Федерального медико-биологического агентства» при проведении электронного аукциона: «Поставка изделий медицинского назначения (пробирки вакуумные)»</w:t>
      </w:r>
    </w:p>
    <w:p>
      <w:pPr>
        <w:pStyle w:val="Style16"/>
        <w:keepNext w:val="0"/>
        <w:keepLines w:val="0"/>
        <w:widowControl w:val="0"/>
        <w:shd w:val="clear" w:color="auto" w:fill="auto"/>
        <w:bidi w:val="0"/>
        <w:spacing w:before="0" w:after="580" w:line="240" w:lineRule="auto"/>
        <w:ind w:left="0" w:right="0" w:firstLine="0"/>
        <w:jc w:val="both"/>
      </w:pPr>
      <w:r>
        <w:rPr>
          <w:color w:val="000000"/>
          <w:spacing w:val="0"/>
          <w:w w:val="100"/>
          <w:position w:val="0"/>
          <w:shd w:val="clear" w:color="auto" w:fill="auto"/>
          <w:lang w:val="ru-RU" w:eastAsia="ru-RU" w:bidi="ru-RU"/>
        </w:rPr>
        <w:t>(извещение № 0363100013524000254) необоснованной.</w:t>
      </w:r>
    </w:p>
    <w:p>
      <w:pPr>
        <w:pStyle w:val="Style16"/>
        <w:keepNext w:val="0"/>
        <w:keepLines w:val="0"/>
        <w:widowControl w:val="0"/>
        <w:shd w:val="clear" w:color="auto" w:fill="auto"/>
        <w:bidi w:val="0"/>
        <w:spacing w:before="0" w:after="280" w:line="240" w:lineRule="auto"/>
        <w:ind w:left="0" w:right="0" w:firstLine="720"/>
        <w:jc w:val="both"/>
      </w:pPr>
      <w:r>
        <w:rPr>
          <w:i/>
          <w:iCs/>
          <w:color w:val="000000"/>
          <w:spacing w:val="0"/>
          <w:w w:val="100"/>
          <w:position w:val="0"/>
          <w:shd w:val="clear" w:color="auto" w:fill="auto"/>
          <w:lang w:val="ru-RU" w:eastAsia="ru-RU" w:bidi="ru-RU"/>
        </w:rPr>
        <w:t>В соответствии с частью 9 статьи 106 Федерального закона от 05.04.2013 № 44- ФЗ «О контрактной системе в сфере закупок товаров, работ, услуг для обеспечения государственных и муниципальных нужд»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Заместитель</w:t>
      </w:r>
    </w:p>
    <w:p>
      <w:pPr>
        <w:pStyle w:val="Style16"/>
        <w:keepNext w:val="0"/>
        <w:keepLines w:val="0"/>
        <w:widowControl w:val="0"/>
        <w:shd w:val="clear" w:color="auto" w:fill="auto"/>
        <w:tabs>
          <w:tab w:leader="underscore" w:pos="6010" w:val="left"/>
        </w:tabs>
        <w:bidi w:val="0"/>
        <w:spacing w:before="0" w:after="580" w:line="240" w:lineRule="auto"/>
        <w:ind w:left="0" w:right="0" w:firstLine="0"/>
        <w:jc w:val="both"/>
      </w:pPr>
      <w:r>
        <w:rPr>
          <w:color w:val="000000"/>
          <w:spacing w:val="0"/>
          <w:w w:val="100"/>
          <w:position w:val="0"/>
          <w:shd w:val="clear" w:color="auto" w:fill="auto"/>
          <w:lang w:val="ru-RU" w:eastAsia="ru-RU" w:bidi="ru-RU"/>
        </w:rPr>
        <w:t xml:space="preserve">председателя Комиссии </w:t>
        <w:tab/>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sectPr>
      <w:footnotePr>
        <w:pos w:val="pageBottom"/>
        <w:numFmt w:val="decimal"/>
        <w:numRestart w:val="continuous"/>
      </w:footnotePr>
      <w:type w:val="continuous"/>
      <w:pgSz w:w="11900" w:h="16840"/>
      <w:pgMar w:top="1684" w:right="522" w:bottom="1370" w:left="1088"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721360</wp:posOffset>
              </wp:positionH>
              <wp:positionV relativeFrom="page">
                <wp:posOffset>10012045</wp:posOffset>
              </wp:positionV>
              <wp:extent cx="572770" cy="100330"/>
              <wp:wrapNone/>
              <wp:docPr id="5" name="Shape 5"/>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2025-436</w:t>
                          </w:r>
                        </w:p>
                      </w:txbxContent>
                    </wps:txbx>
                    <wps:bodyPr wrap="none" lIns="0" tIns="0" rIns="0" bIns="0">
                      <a:spAutoFit/>
                    </wps:bodyPr>
                  </wps:wsp>
                </a:graphicData>
              </a:graphic>
            </wp:anchor>
          </w:drawing>
        </mc:Choice>
        <mc:Fallback>
          <w:pict>
            <v:shape id="_x0000_s1031" type="#_x0000_t202" style="position:absolute;margin-left:56.800000000000004pt;margin-top:788.35000000000002pt;width:45.100000000000001pt;height:7.9000000000000004pt;z-index:-188744060;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2025-436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723900</wp:posOffset>
              </wp:positionH>
              <wp:positionV relativeFrom="page">
                <wp:posOffset>9857740</wp:posOffset>
              </wp:positionV>
              <wp:extent cx="572770" cy="100330"/>
              <wp:wrapNone/>
              <wp:docPr id="7" name="Shape 7"/>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2025-436</w:t>
                          </w:r>
                        </w:p>
                      </w:txbxContent>
                    </wps:txbx>
                    <wps:bodyPr wrap="none" lIns="0" tIns="0" rIns="0" bIns="0">
                      <a:spAutoFit/>
                    </wps:bodyPr>
                  </wps:wsp>
                </a:graphicData>
              </a:graphic>
            </wp:anchor>
          </w:drawing>
        </mc:Choice>
        <mc:Fallback>
          <w:pict>
            <v:shape id="_x0000_s1033" type="#_x0000_t202" style="position:absolute;margin-left:57.pt;margin-top:776.20000000000005pt;width:45.100000000000001pt;height:7.9000000000000004pt;z-index:-188744058;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2025-436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3921760</wp:posOffset>
              </wp:positionH>
              <wp:positionV relativeFrom="page">
                <wp:posOffset>758190</wp:posOffset>
              </wp:positionV>
              <wp:extent cx="67310" cy="100330"/>
              <wp:wrapNone/>
              <wp:docPr id="3" name="Shape 3"/>
              <a:graphic xmlns:a="http://schemas.openxmlformats.org/drawingml/2006/main">
                <a:graphicData uri="http://schemas.microsoft.com/office/word/2010/wordprocessingShape">
                  <wps:wsp>
                    <wps:cNvSpPr txBox="1"/>
                    <wps:spPr>
                      <a:xfrm>
                        <a:ext cx="67310" cy="10033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8.80000000000001pt;margin-top:59.700000000000003pt;width:5.2999999999999998pt;height:7.9000000000000004pt;z-index:-188744062;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A6294"/>
      <w:sz w:val="16"/>
      <w:szCs w:val="16"/>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sz w:val="19"/>
      <w:szCs w:val="19"/>
      <w:u w:val="none"/>
    </w:rPr>
  </w:style>
  <w:style w:type="character" w:customStyle="1" w:styleId="CharStyle10">
    <w:name w:val="Заголовок №2_"/>
    <w:basedOn w:val="DefaultParagraphFont"/>
    <w:link w:val="Style9"/>
    <w:rPr>
      <w:rFonts w:ascii="Times New Roman" w:eastAsia="Times New Roman" w:hAnsi="Times New Roman" w:cs="Times New Roman"/>
      <w:b w:val="0"/>
      <w:bCs w:val="0"/>
      <w:i w:val="0"/>
      <w:iCs w:val="0"/>
      <w:smallCaps w:val="0"/>
      <w:strike w:val="0"/>
      <w:sz w:val="30"/>
      <w:szCs w:val="30"/>
      <w:u w:val="single"/>
    </w:rPr>
  </w:style>
  <w:style w:type="character" w:customStyle="1" w:styleId="CharStyle15">
    <w:name w:val="Заголовок №3_"/>
    <w:basedOn w:val="DefaultParagraphFont"/>
    <w:link w:val="Style14"/>
    <w:rPr>
      <w:rFonts w:ascii="Times New Roman" w:eastAsia="Times New Roman" w:hAnsi="Times New Roman" w:cs="Times New Roman"/>
      <w:b/>
      <w:bCs/>
      <w:i w:val="0"/>
      <w:iCs w:val="0"/>
      <w:smallCaps w:val="0"/>
      <w:strike w:val="0"/>
      <w:sz w:val="26"/>
      <w:szCs w:val="26"/>
      <w:u w:val="none"/>
    </w:rPr>
  </w:style>
  <w:style w:type="character" w:customStyle="1" w:styleId="CharStyle17">
    <w:name w:val="Основной текст_"/>
    <w:basedOn w:val="DefaultParagraphFont"/>
    <w:link w:val="Style16"/>
    <w:rPr>
      <w:rFonts w:ascii="Times New Roman" w:eastAsia="Times New Roman" w:hAnsi="Times New Roman" w:cs="Times New Roman"/>
      <w:b w:val="0"/>
      <w:bCs w:val="0"/>
      <w:i w:val="0"/>
      <w:iCs w:val="0"/>
      <w:smallCaps w:val="0"/>
      <w:strike w:val="0"/>
      <w:sz w:val="26"/>
      <w:szCs w:val="26"/>
      <w:u w:val="none"/>
    </w:rPr>
  </w:style>
  <w:style w:type="character" w:customStyle="1" w:styleId="CharStyle21">
    <w:name w:val="Колонтитул (2)_"/>
    <w:basedOn w:val="DefaultParagraphFont"/>
    <w:link w:val="Style20"/>
    <w:rPr>
      <w:rFonts w:ascii="Times New Roman" w:eastAsia="Times New Roman" w:hAnsi="Times New Roman" w:cs="Times New Roman"/>
      <w:b w:val="0"/>
      <w:bCs w:val="0"/>
      <w:i w:val="0"/>
      <w:iCs w:val="0"/>
      <w:smallCaps w:val="0"/>
      <w:strike w:val="0"/>
      <w:sz w:val="20"/>
      <w:szCs w:val="20"/>
      <w:u w:val="none"/>
    </w:rPr>
  </w:style>
  <w:style w:type="character" w:customStyle="1" w:styleId="CharStyle24">
    <w:name w:val="Подпись к таблице_"/>
    <w:basedOn w:val="DefaultParagraphFont"/>
    <w:link w:val="Style23"/>
    <w:rPr>
      <w:rFonts w:ascii="Times New Roman" w:eastAsia="Times New Roman" w:hAnsi="Times New Roman" w:cs="Times New Roman"/>
      <w:b w:val="0"/>
      <w:bCs w:val="0"/>
      <w:i w:val="0"/>
      <w:iCs w:val="0"/>
      <w:smallCaps w:val="0"/>
      <w:strike w:val="0"/>
      <w:sz w:val="26"/>
      <w:szCs w:val="26"/>
      <w:u w:val="none"/>
    </w:rPr>
  </w:style>
  <w:style w:type="character" w:customStyle="1" w:styleId="CharStyle26">
    <w:name w:val="Другое_"/>
    <w:basedOn w:val="DefaultParagraphFont"/>
    <w:link w:val="Style25"/>
    <w:rPr>
      <w:rFonts w:ascii="Times New Roman" w:eastAsia="Times New Roman" w:hAnsi="Times New Roman" w:cs="Times New Roman"/>
      <w:b w:val="0"/>
      <w:bCs w:val="0"/>
      <w:i w:val="0"/>
      <w:iCs w:val="0"/>
      <w:smallCaps w:val="0"/>
      <w:strike w:val="0"/>
      <w:sz w:val="26"/>
      <w:szCs w:val="26"/>
      <w:u w:val="none"/>
    </w:rPr>
  </w:style>
  <w:style w:type="character" w:customStyle="1" w:styleId="CharStyle28">
    <w:name w:val="Заголовок №1_"/>
    <w:basedOn w:val="DefaultParagraphFont"/>
    <w:link w:val="Style27"/>
    <w:rPr>
      <w:rFonts w:ascii="Arial" w:eastAsia="Arial" w:hAnsi="Arial" w:cs="Arial"/>
      <w:b w:val="0"/>
      <w:bCs w:val="0"/>
      <w:i w:val="0"/>
      <w:iCs w:val="0"/>
      <w:smallCaps w:val="0"/>
      <w:strike w:val="0"/>
      <w:sz w:val="48"/>
      <w:szCs w:val="48"/>
      <w:u w:val="none"/>
    </w:rPr>
  </w:style>
  <w:style w:type="paragraph" w:customStyle="1" w:styleId="Style2">
    <w:name w:val="Основной текст (3)"/>
    <w:basedOn w:val="Normal"/>
    <w:link w:val="CharStyle3"/>
    <w:pPr>
      <w:widowControl w:val="0"/>
      <w:shd w:val="clear" w:color="auto" w:fill="auto"/>
      <w:spacing w:line="298" w:lineRule="auto"/>
      <w:jc w:val="center"/>
    </w:pPr>
    <w:rPr>
      <w:rFonts w:ascii="Times New Roman" w:eastAsia="Times New Roman" w:hAnsi="Times New Roman" w:cs="Times New Roman"/>
      <w:b w:val="0"/>
      <w:bCs w:val="0"/>
      <w:i w:val="0"/>
      <w:iCs w:val="0"/>
      <w:smallCaps w:val="0"/>
      <w:strike w:val="0"/>
      <w:color w:val="4A6294"/>
      <w:sz w:val="16"/>
      <w:szCs w:val="16"/>
      <w:u w:val="none"/>
    </w:rPr>
  </w:style>
  <w:style w:type="paragraph" w:customStyle="1" w:styleId="Style5">
    <w:name w:val="Основной текст (2)"/>
    <w:basedOn w:val="Normal"/>
    <w:link w:val="CharStyle6"/>
    <w:pPr>
      <w:widowControl w:val="0"/>
      <w:shd w:val="clear" w:color="auto" w:fill="auto"/>
      <w:spacing w:line="254" w:lineRule="auto"/>
    </w:pPr>
    <w:rPr>
      <w:rFonts w:ascii="Times New Roman" w:eastAsia="Times New Roman" w:hAnsi="Times New Roman" w:cs="Times New Roman"/>
      <w:b w:val="0"/>
      <w:bCs w:val="0"/>
      <w:i w:val="0"/>
      <w:iCs w:val="0"/>
      <w:smallCaps w:val="0"/>
      <w:strike w:val="0"/>
      <w:sz w:val="19"/>
      <w:szCs w:val="19"/>
      <w:u w:val="none"/>
    </w:rPr>
  </w:style>
  <w:style w:type="paragraph" w:customStyle="1" w:styleId="Style9">
    <w:name w:val="Заголовок №2"/>
    <w:basedOn w:val="Normal"/>
    <w:link w:val="CharStyle10"/>
    <w:pPr>
      <w:widowControl w:val="0"/>
      <w:shd w:val="clear" w:color="auto" w:fill="auto"/>
      <w:spacing w:after="320"/>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4">
    <w:name w:val="Заголовок №3"/>
    <w:basedOn w:val="Normal"/>
    <w:link w:val="CharStyle15"/>
    <w:pPr>
      <w:widowControl w:val="0"/>
      <w:shd w:val="clear" w:color="auto" w:fill="auto"/>
      <w:outlineLvl w:val="2"/>
    </w:pPr>
    <w:rPr>
      <w:rFonts w:ascii="Times New Roman" w:eastAsia="Times New Roman" w:hAnsi="Times New Roman" w:cs="Times New Roman"/>
      <w:b/>
      <w:bCs/>
      <w:i w:val="0"/>
      <w:iCs w:val="0"/>
      <w:smallCaps w:val="0"/>
      <w:strike w:val="0"/>
      <w:sz w:val="26"/>
      <w:szCs w:val="26"/>
      <w:u w:val="none"/>
    </w:rPr>
  </w:style>
  <w:style w:type="paragraph" w:customStyle="1" w:styleId="Style16">
    <w:name w:val="Основной текст"/>
    <w:basedOn w:val="Normal"/>
    <w:link w:val="CharStyle17"/>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0">
    <w:name w:val="Колонтитул (2)"/>
    <w:basedOn w:val="Normal"/>
    <w:link w:val="CharStyle21"/>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3">
    <w:name w:val="Подпись к таблице"/>
    <w:basedOn w:val="Normal"/>
    <w:link w:val="CharStyle24"/>
    <w:pPr>
      <w:widowControl w:val="0"/>
      <w:shd w:val="clear" w:color="auto" w:fill="auto"/>
      <w:ind w:firstLine="700"/>
    </w:pPr>
    <w:rPr>
      <w:rFonts w:ascii="Times New Roman" w:eastAsia="Times New Roman" w:hAnsi="Times New Roman" w:cs="Times New Roman"/>
      <w:b w:val="0"/>
      <w:bCs w:val="0"/>
      <w:i w:val="0"/>
      <w:iCs w:val="0"/>
      <w:smallCaps w:val="0"/>
      <w:strike w:val="0"/>
      <w:sz w:val="26"/>
      <w:szCs w:val="26"/>
      <w:u w:val="none"/>
    </w:rPr>
  </w:style>
  <w:style w:type="paragraph" w:customStyle="1" w:styleId="Style25">
    <w:name w:val="Другое"/>
    <w:basedOn w:val="Normal"/>
    <w:link w:val="CharStyle26"/>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7">
    <w:name w:val="Заголовок №1"/>
    <w:basedOn w:val="Normal"/>
    <w:link w:val="CharStyle28"/>
    <w:pPr>
      <w:widowControl w:val="0"/>
      <w:shd w:val="clear" w:color="auto" w:fill="auto"/>
      <w:spacing w:after="300"/>
      <w:outlineLvl w:val="0"/>
    </w:pPr>
    <w:rPr>
      <w:rFonts w:ascii="Arial" w:eastAsia="Arial" w:hAnsi="Arial" w:cs="Arial"/>
      <w:b w:val="0"/>
      <w:bCs w:val="0"/>
      <w:i w:val="0"/>
      <w:iCs w:val="0"/>
      <w:smallCaps w:val="0"/>
      <w:strike w:val="0"/>
      <w:sz w:val="48"/>
      <w:szCs w:val="4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s>
</file>