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5"/>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8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28.01.2025</w:t>
      </w:r>
      <w:r>
        <w:fldChar w:fldCharType="end"/>
      </w:r>
      <w:r>
        <w:rPr>
          <w:color w:val="000000"/>
          <w:spacing w:val="0"/>
          <w:w w:val="100"/>
          <w:position w:val="0"/>
          <w:shd w:val="clear" w:color="auto" w:fill="auto"/>
          <w:lang w:val="ru-RU" w:eastAsia="ru-RU" w:bidi="ru-RU"/>
        </w:rPr>
        <w:tab/>
        <w:t>№ 693/25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ООО Торговый дом «Медполимерпром» </w:t>
      </w:r>
      <w:r>
        <w:rPr>
          <w:color w:val="000000"/>
          <w:spacing w:val="0"/>
          <w:w w:val="100"/>
          <w:position w:val="0"/>
          <w:sz w:val="24"/>
          <w:szCs w:val="24"/>
          <w:shd w:val="clear" w:color="auto" w:fill="auto"/>
          <w:lang w:val="ru-RU" w:eastAsia="ru-RU" w:bidi="ru-RU"/>
        </w:rPr>
        <w:t>123298, г. Москва, вн.тер.г. муниципальный округ Хорошево-Мневники, ул. 3-я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Хорошёвская, д. 18, к. 1</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хаках@Мтрр.ш</w:t>
      </w:r>
    </w:p>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ГБУЗ ПК «Пермский краевой онкологический диспансер»</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614066, г. Пермь, ул. Баумана, 15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е1епа-ркод@таП.ш</w:t>
      </w:r>
    </w:p>
    <w:p>
      <w:pPr>
        <w:pStyle w:val="Style16"/>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Комиссия ГКУ ПК «Центр организации закупок»</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тГо@сх.регткгаЁш</w:t>
      </w:r>
    </w:p>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АО «Сбербанк-АСТ»</w:t>
      </w:r>
      <w:bookmarkEnd w:id="6"/>
    </w:p>
    <w:p>
      <w:pPr>
        <w:pStyle w:val="Style13"/>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84" w:right="868" w:bottom="1198" w:left="1140" w:header="0" w:footer="3" w:gutter="0"/>
          <w:pgNumType w:start="1"/>
          <w:cols w:num="2" w:space="720" w:equalWidth="0">
            <w:col w:w="4061" w:space="1205"/>
            <w:col w:w="4627"/>
          </w:cols>
          <w:noEndnote/>
          <w:rtlGutter w:val="0"/>
          <w:docGrid w:linePitch="360"/>
        </w:sectPr>
      </w:pPr>
      <w:r>
        <w:rPr>
          <w:color w:val="000000"/>
          <w:spacing w:val="0"/>
          <w:w w:val="100"/>
          <w:position w:val="0"/>
          <w:sz w:val="24"/>
          <w:szCs w:val="24"/>
          <w:shd w:val="clear" w:color="auto" w:fill="auto"/>
          <w:lang w:val="ru-RU" w:eastAsia="ru-RU" w:bidi="ru-RU"/>
        </w:rPr>
        <w:t>ко@8ЬегЬапк-а8Еш</w:t>
      </w:r>
    </w:p>
    <w:p>
      <w:pPr>
        <w:widowControl w:val="0"/>
        <w:spacing w:line="140" w:lineRule="exact"/>
        <w:rPr>
          <w:sz w:val="11"/>
          <w:szCs w:val="11"/>
        </w:rPr>
      </w:pPr>
    </w:p>
    <w:p>
      <w:pPr>
        <w:widowControl w:val="0"/>
        <w:spacing w:line="1" w:lineRule="exact"/>
        <w:sectPr>
          <w:footnotePr>
            <w:pos w:val="pageBottom"/>
            <w:numFmt w:val="decimal"/>
            <w:numRestart w:val="continuous"/>
          </w:footnotePr>
          <w:type w:val="continuous"/>
          <w:pgSz w:w="11900" w:h="16840"/>
          <w:pgMar w:top="284" w:right="0" w:bottom="1198"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по делу № 059/06/105-32/2025</w:t>
      </w:r>
      <w:bookmarkEnd w:id="8"/>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Торговый дом «Медполимерпром», вх.№ 502/25 от 17.01.2025 г.)</w:t>
      </w:r>
    </w:p>
    <w:p>
      <w:pPr>
        <w:pStyle w:val="Style16"/>
        <w:keepNext/>
        <w:keepLines/>
        <w:widowControl w:val="0"/>
        <w:shd w:val="clear" w:color="auto" w:fill="auto"/>
        <w:tabs>
          <w:tab w:pos="9216" w:val="left"/>
        </w:tabs>
        <w:bidi w:val="0"/>
        <w:spacing w:before="0" w:after="0" w:line="240" w:lineRule="auto"/>
        <w:ind w:left="0" w:right="0" w:firstLine="0"/>
        <w:jc w:val="both"/>
      </w:pPr>
      <w:bookmarkStart w:id="10" w:name="bookmark10"/>
      <w:r>
        <w:rPr>
          <w:color w:val="000000"/>
          <w:spacing w:val="0"/>
          <w:w w:val="100"/>
          <w:position w:val="0"/>
          <w:sz w:val="24"/>
          <w:szCs w:val="24"/>
          <w:shd w:val="clear" w:color="auto" w:fill="auto"/>
          <w:lang w:val="ru-RU" w:eastAsia="ru-RU" w:bidi="ru-RU"/>
        </w:rPr>
        <w:t>23.01.2025 г.</w:t>
        <w:tab/>
        <w:t>г. Пермь</w:t>
      </w:r>
      <w:bookmarkEnd w:id="10"/>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Журавев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Качин М.Е.,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Торговый дом «Медполимерпром» - Ширшова К.М. (на основании доверенности), представителя комиссии ГКУ ПК «Центр организации закупок» - Филимоновой П.А. (на основании доверенности), представителя ООО «Пермская Медицинская Компания» - Максимова Д.З. (на основании решения),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отсутствие представителя ГБУЗ ПК «Пермский краевой онкологический диспансер» (извещен надлежащим образом),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Торговый дом «Медполимерпром» (далее - Заявитель) на действия комиссии ГКУ ПК «Центр организации закупок» (далее - Аукционная комиссия) при проведении электронного аукциона на поставку изделий медицинского назначения (Контур дыхательный для аппарата ИВЛ) (изв.№ 0356200005124000551),</w:t>
      </w:r>
    </w:p>
    <w:p>
      <w:pPr>
        <w:pStyle w:val="Style16"/>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3"/>
        <w:keepNext w:val="0"/>
        <w:keepLines w:val="0"/>
        <w:widowControl w:val="0"/>
        <w:shd w:val="clear" w:color="auto" w:fill="auto"/>
        <w:bidi w:val="0"/>
        <w:spacing w:before="0" w:after="36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 0356200005124000551 Заказчиком проводился электронный</w:t>
      </w:r>
    </w:p>
    <w:p>
      <w:pPr>
        <w:pStyle w:val="Style18"/>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41" w:bottom="1198" w:left="1097" w:header="0" w:footer="3" w:gutter="0"/>
          <w:cols w:space="720"/>
          <w:noEndnote/>
          <w:rtlGutter w:val="0"/>
          <w:docGrid w:linePitch="360"/>
        </w:sectPr>
      </w:pPr>
      <w:bookmarkStart w:id="14" w:name="bookmark14"/>
      <w:r>
        <w:rPr>
          <w:color w:val="000000"/>
          <w:spacing w:val="0"/>
          <w:w w:val="100"/>
          <w:position w:val="0"/>
          <w:shd w:val="clear" w:color="auto" w:fill="auto"/>
          <w:lang w:val="ru-RU" w:eastAsia="ru-RU" w:bidi="ru-RU"/>
        </w:rPr>
        <w:t>1111111111111111111111</w:t>
      </w:r>
      <w:bookmarkEnd w:id="14"/>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аукцион на поставку изделий медицинского назначения (Контур дыхательный для аппарата ИВЛ).</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3"/>
        <w:keepNext w:val="0"/>
        <w:keepLines w:val="0"/>
        <w:widowControl w:val="0"/>
        <w:numPr>
          <w:ilvl w:val="0"/>
          <w:numId w:val="3"/>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- 24.12.2024 г.</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- 1 359 985,50 руб.;</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- 13.01.2025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в нарушение требований ст. 14 Закона о закупках Аукционной комиссией не были применены положения Постановления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 в части отклонения заявок, содержащих предложения о поставе товаров иностранного происхождения, поскольку на участие в закупке поступило не менее двух заявок, содержащих предложение о поставке товаров, страной происхождения которых являются страны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указывает Заявитель в своей жалобе, заявка Заявителя содержит предложение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и одновременно Заявитель представил документы, предусмотренные ПП РФ № 102. Истечение срока действия годового акта экспертизы, который не может превышать срок действия ПП РФ № 102 (документ утратил силу с 01.01.2025 в связи с изданием Постановления Правительства РФ от 23.12.2024 № 1875), не отменяет факта отечественного происхождения, предложенного к поставке конкретного количества товара и соответствие его доли импорта показателю, определенному ПП РФ № 102, в целях подтверждения чего данные документы и предоставляются.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на основании постановления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 В соответствии с абзацем 2 п. 3.2 Положения 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 В соответствии с данной нормой приказом ТПП РФ от 10.04.2015 № 30 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от 5 февраля 2015 года № 102» (далее - Порядок заполнения актов экспертизы). В соответствии с п. 4.3 Порядка заполнения актов экспертизы Акт экспертизы заполняется следующим образом: пункт 3. «Срок действия акта»: указывается дата, до которой действует годовой акт экспертизы (с учетом, что акт составляется сроком на один год). В соответствии с п. 3.1 «Требований к содержанию, составу заявки на участие в закупке и инструкции по ее заполнению» (далее - Требований):</w:t>
      </w:r>
    </w:p>
    <w:p>
      <w:pPr>
        <w:pStyle w:val="Style13"/>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 883, от 28.02.2023 № 318) Подтверждением процентной доли стоимости использованных материалов (сырья) иностранного происхождения в 2025-775</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15.01.2025 №ИЭА1 на участие в закупке поступило 4 заявки. В результате анализа заявки Заявителя было установлено, что к поставке последним предлагаются контуры дыхательные аппарата искусственной вентиляции легких, одноразового использования производителя АО «НПП «ИНТЕРОКО» (РУ № РЗН 2020/10066). Также в составе заявки Заявителем были приложены сертификат по форме СТ-1 № 4126000587, а также акт экспертизы № 030-00-40022 от 01.03.2024 г. действующий до 31.12.2024 г. Таким образом, на момент подачи Заявителем заявки (10.01.2025 г. в 12:22:52), а также на момент подведения итогов определения поставщика (15.01.2025 г.) срок действия акта экспертизы № 030-00-40022 истек, а, следовательно, Заявителем, в нарушение п. 3.1 Требований, не представлено надлежащего акта экспертизы, содержащего информацию о доле стоимости иностранных материалов (сырья), используемых для производства одной единицы медицинского изделия. В заявке участника № 5 представлен акт экспертизы, действующий до июня 2025 г., кроме того, Порядок заполнения актов экспертизы не ограничивает срок действия такого акта окончанием календарного года, а указывает на его действие в течение одного года. Доказательств обратного в материалах жалобы Заявителем представлено не было. Поскольку в соответствии с п. 2 ПП РФ № 102 отклонение заявок, содержащих предложение о поставке изделий, происходящих из иностранных государств, осуществляется лишь в случае, если на участие в определении поставщика подано </w:t>
      </w:r>
      <w:r>
        <w:rPr>
          <w:color w:val="000000"/>
          <w:spacing w:val="0"/>
          <w:w w:val="100"/>
          <w:position w:val="0"/>
          <w:sz w:val="24"/>
          <w:szCs w:val="24"/>
          <w:u w:val="single"/>
          <w:shd w:val="clear" w:color="auto" w:fill="auto"/>
          <w:lang w:val="ru-RU" w:eastAsia="ru-RU" w:bidi="ru-RU"/>
        </w:rPr>
        <w:t>не менее 2 заявок,</w:t>
      </w:r>
      <w:r>
        <w:rPr>
          <w:color w:val="000000"/>
          <w:spacing w:val="0"/>
          <w:w w:val="100"/>
          <w:position w:val="0"/>
          <w:sz w:val="24"/>
          <w:szCs w:val="24"/>
          <w:shd w:val="clear" w:color="auto" w:fill="auto"/>
          <w:lang w:val="ru-RU" w:eastAsia="ru-RU" w:bidi="ru-RU"/>
        </w:rPr>
        <w:t xml:space="preserve"> соответствующих требованиям вышеуказанного пункта, при этом заявки участников № 7 и № 236 содержат предложение о поставке товаров, происходящих из иностранных государств (Турция и Китай соответственно), у Аукционной комиссии не имелось оснований для применения условий ограничения допуска отдельных видов медицинских изделий, происходящих из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письменных дополнениях Аукционная комиссия отметила, что обязанность по установлению соответствующего ограничения в извещение возникает в случае, если закупаемый товар входит в один из перечней, утвержденный ПП РФ № 102 (в период действия постановления и утвержденных им перечней), при этом обязанность по применению такого ограничения действует с момента его установления в извещении и до окончания исполнения контракта включительно (так, например, п. 3(1) и п. 3(2) ПП РФ № 102 регламентируют отношения между поставщиком и заказчиком в ходе исполнения контракта в части порядка замены медицинского изделия в ходе поставки).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основании которого ПП РФ № 102 признано утратившим силу), отменяющее действие ряда актов, не содержит положений, из которых следует необходимость его применения к отношениям, возникшим до введения его в действие. Кроме того, согласно положениям абз. 1 п. 1. ст. 4 ГК РФ: акты гражданского законодательства не имеют обратной силы и применяются к отношениям, возникшим после введения их в действие.</w:t>
      </w:r>
    </w:p>
    <w:p>
      <w:pPr>
        <w:pStyle w:val="Style13"/>
        <w:keepNext w:val="0"/>
        <w:keepLines w:val="0"/>
        <w:widowControl w:val="0"/>
        <w:shd w:val="clear" w:color="auto" w:fill="auto"/>
        <w:bidi w:val="0"/>
        <w:spacing w:before="0" w:after="0" w:line="269"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2025-775</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40"/>
        <w:jc w:val="both"/>
        <w:sectPr>
          <w:footerReference w:type="default" r:id="rId8"/>
          <w:footnotePr>
            <w:pos w:val="pageBottom"/>
            <w:numFmt w:val="decimal"/>
            <w:numRestart w:val="continuous"/>
          </w:footnotePr>
          <w:pgSz w:w="11900" w:h="16840"/>
          <w:pgMar w:top="1110" w:right="541" w:bottom="603" w:left="1105" w:header="682" w:footer="175" w:gutter="0"/>
          <w:cols w:space="720"/>
          <w:noEndnote/>
          <w:rtlGutter w:val="0"/>
          <w:docGrid w:linePitch="360"/>
        </w:sectPr>
      </w:pPr>
      <w:r>
        <w:rPr>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2025-775</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3"/>
        <w:keepNext w:val="0"/>
        <w:keepLines w:val="0"/>
        <w:widowControl w:val="0"/>
        <w:numPr>
          <w:ilvl w:val="0"/>
          <w:numId w:val="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3"/>
        <w:keepNext w:val="0"/>
        <w:keepLines w:val="0"/>
        <w:widowControl w:val="0"/>
        <w:numPr>
          <w:ilvl w:val="0"/>
          <w:numId w:val="9"/>
        </w:numPr>
        <w:shd w:val="clear" w:color="auto" w:fill="auto"/>
        <w:tabs>
          <w:tab w:pos="100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3"/>
        <w:keepNext w:val="0"/>
        <w:keepLines w:val="0"/>
        <w:widowControl w:val="0"/>
        <w:numPr>
          <w:ilvl w:val="0"/>
          <w:numId w:val="9"/>
        </w:numPr>
        <w:shd w:val="clear" w:color="auto" w:fill="auto"/>
        <w:tabs>
          <w:tab w:pos="17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справочная информация:</w:t>
      </w:r>
    </w:p>
    <w:p>
      <w:pPr>
        <w:pStyle w:val="Style13"/>
        <w:keepNext w:val="0"/>
        <w:keepLines w:val="0"/>
        <w:widowControl w:val="0"/>
        <w:numPr>
          <w:ilvl w:val="0"/>
          <w:numId w:val="11"/>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numPr>
          <w:ilvl w:val="0"/>
          <w:numId w:val="11"/>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информация о типовых условиях контрактов, подлежащих применению при закупке товара, работы, услуги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w:t>
      </w:r>
      <w:r>
        <w:rPr>
          <w:color w:val="000000"/>
          <w:spacing w:val="0"/>
          <w:w w:val="100"/>
          <w:position w:val="0"/>
          <w:sz w:val="24"/>
          <w:szCs w:val="24"/>
          <w:shd w:val="clear" w:color="auto" w:fill="auto"/>
          <w:lang w:val="ru-RU" w:eastAsia="ru-RU" w:bidi="ru-RU"/>
        </w:rPr>
        <w:t>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 3, 4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условия допуска, предусмотренные приказом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Подпунктом «б» п. 2 ПП РФ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13"/>
        <w:keepNext w:val="0"/>
        <w:keepLines w:val="0"/>
        <w:widowControl w:val="0"/>
        <w:numPr>
          <w:ilvl w:val="0"/>
          <w:numId w:val="13"/>
        </w:numPr>
        <w:shd w:val="clear" w:color="auto" w:fill="auto"/>
        <w:tabs>
          <w:tab w:pos="103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2(1) ПП РФ № 102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w:t>
        <w:softHyphen/>
        <w:t>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1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7"/>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7"/>
        </w:numPr>
        <w:shd w:val="clear" w:color="auto" w:fill="auto"/>
        <w:tabs>
          <w:tab w:pos="104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7"/>
        </w:numPr>
        <w:shd w:val="clear" w:color="auto" w:fill="auto"/>
        <w:tabs>
          <w:tab w:pos="1039" w:val="left"/>
        </w:tabs>
        <w:bidi w:val="0"/>
        <w:spacing w:before="0" w:after="0" w:line="240" w:lineRule="auto"/>
        <w:ind w:left="0" w:right="0" w:firstLine="740"/>
        <w:jc w:val="both"/>
        <w:sectPr>
          <w:footerReference w:type="default" r:id="rId9"/>
          <w:footnotePr>
            <w:pos w:val="pageBottom"/>
            <w:numFmt w:val="decimal"/>
            <w:numRestart w:val="continuous"/>
          </w:footnotePr>
          <w:pgSz w:w="11900" w:h="16840"/>
          <w:pgMar w:top="1073" w:right="541" w:bottom="1148" w:left="1106" w:header="645" w:footer="3" w:gutter="0"/>
          <w:cols w:space="720"/>
          <w:noEndnote/>
          <w:rtlGutter w:val="0"/>
          <w:docGrid w:linePitch="360"/>
        </w:sectPr>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15"/>
        </w:numPr>
        <w:shd w:val="clear" w:color="auto" w:fill="auto"/>
        <w:tabs>
          <w:tab w:pos="106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9"/>
        </w:numPr>
        <w:shd w:val="clear" w:color="auto" w:fill="auto"/>
        <w:tabs>
          <w:tab w:pos="10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1"/>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3"/>
        <w:keepNext w:val="0"/>
        <w:keepLines w:val="0"/>
        <w:widowControl w:val="0"/>
        <w:numPr>
          <w:ilvl w:val="0"/>
          <w:numId w:val="21"/>
        </w:numPr>
        <w:shd w:val="clear" w:color="auto" w:fill="auto"/>
        <w:tabs>
          <w:tab w:pos="1057" w:val="left"/>
        </w:tabs>
        <w:bidi w:val="0"/>
        <w:spacing w:before="0" w:after="0" w:line="271" w:lineRule="auto"/>
        <w:ind w:left="0" w:right="0" w:firstLine="740"/>
        <w:jc w:val="both"/>
        <w:sectPr>
          <w:footerReference w:type="default" r:id="rId10"/>
          <w:footnotePr>
            <w:pos w:val="pageBottom"/>
            <w:numFmt w:val="decimal"/>
            <w:numRestart w:val="continuous"/>
          </w:footnotePr>
          <w:pgSz w:w="11900" w:h="16840"/>
          <w:pgMar w:top="1110" w:right="546" w:bottom="603" w:left="1106" w:header="682" w:footer="175"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закупках, при котором порядковые номера заявкам 2025-775</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9"/>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о проведении закупки № 0356200005124000551 объектом закупки является поставка изделий медицинского назначения (Контур дыхательный для аппарата ИВЛ), соответствующих позициям КТРУ 32.50.13.190-00245.</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в соответствии с извещением о проведении закупки Заказчиком установлены ограничения допуска в соответствии с ПП РФ № 102 и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Так, согласно п. 2.1, 3.1 приложения к извещению «Требований к составу и содержанию заявки» заявка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rPr>
          <w:color w:val="000000"/>
          <w:spacing w:val="0"/>
          <w:w w:val="100"/>
          <w:position w:val="0"/>
          <w:sz w:val="24"/>
          <w:szCs w:val="24"/>
          <w:shd w:val="clear" w:color="auto" w:fill="auto"/>
          <w:lang w:val="ru-RU" w:eastAsia="ru-RU" w:bidi="ru-RU"/>
        </w:rPr>
        <w:t>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3"/>
        <w:keepNext w:val="0"/>
        <w:keepLines w:val="0"/>
        <w:widowControl w:val="0"/>
        <w:numPr>
          <w:ilvl w:val="0"/>
          <w:numId w:val="25"/>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Должна содержать информацию и документы, предусмотренные нормативными правовыми актами, принятыми в соответствии с ч. 3 и 4 ст. 14 Закона о закупках:</w:t>
      </w:r>
    </w:p>
    <w:p>
      <w:pPr>
        <w:pStyle w:val="Style13"/>
        <w:keepNext w:val="0"/>
        <w:keepLines w:val="0"/>
        <w:widowControl w:val="0"/>
        <w:numPr>
          <w:ilvl w:val="0"/>
          <w:numId w:val="25"/>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г. № 883, от 28.02.2023 г.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15.01.2025 №ИЭА1 на участие в закупке поступило четыре заявки, признанные Аукционной комиссией соответствующими требованиям извещения. Заявке под идентификационным номером 236 присвоен первый порядковый номер.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анализа заявок участников закупки Комиссия установила, что в составе заявок представлена следующая информация и документы: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236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ФСЗ 2009/04992 от 22.03.2023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7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5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Республика Беларусь, представлена копия регистрационного удостоверения № ФСЗ 2010/06637 от 30.05.2023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24.1079.026 от 15.11.2024 г. (срок действия сертификата до 15.11.2027 г.), актов экспертизы происхождения товаров № 1/2027-1 от 17.06.2024 г. (срок действия до 17.06.2025 г.), № 1/1947-1 от 10.06.2024 г. (срок действия до 10.06.2025 г.), сертификатов о происхождении товара по форме СТ</w:t>
        <w:softHyphen/>
        <w:t>1 № ВУКП4101202701, ВУКи4101194/01;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заявка № 76 к поставке предложены контуры дыхательные аппарата искусственной </w:t>
      </w:r>
      <w:r>
        <w:rPr>
          <w:color w:val="000000"/>
          <w:spacing w:val="0"/>
          <w:w w:val="100"/>
          <w:position w:val="0"/>
          <w:sz w:val="24"/>
          <w:szCs w:val="24"/>
          <w:shd w:val="clear" w:color="auto" w:fill="auto"/>
          <w:lang w:val="ru-RU" w:eastAsia="ru-RU" w:bidi="ru-RU"/>
        </w:rPr>
        <w:t>вентиляции легких, одноразового использования, продекларирована страна происхождения товаров - Российская Федерация, представлена копия регистрационного удостоверения № РЗН 2020/10066 от 01.11.2024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01.Ки.01.32.1005 от 10.10.2023 г. (срок действия сертификата до 10.10.2026 г.), акта экспертизы происхождения товаров № 030-00-40022 от 01.03.2024 г. (срок действия до 31.12.2024 г.), сертификата о происхождении товара по форме СТ-1 № 4126000587.</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на основании п. 3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абзацем 2 п. 3.2 раздела 3 Положения если иное не предусмотрено настоящим Положением, сертификат формы СТ-1 оформляется 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3.2 раздела 3 Положения о порядке выдачи сертификатов о происхождении товара формы СТ-1 для целей осуществления закупок для обеспечения государственных и муниципальных нужд (для отдельных видов медицинских изделий), утвержденного приказом ТПП РФ № 29 от 10.04.2015 г. утвержден Порядок заполнения актов экспертизы по определению страны происхождения товаров и соответствия товаров требованиям ПП РФ № 102 (прилагается).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4.3 Порядка заполнения актов экспертизы Акт экспертизы заполняется следующим образом: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«Дата составления акта». Указывается дата составления Годового акта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3. «Срок действия акта»: указывается дата, до которой действует годовой акт экспертизы (с учетом, что акт составляется сроком на один год).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15.01.2025 №ИЭА1 заявка Заявителя была подана 10.01.2025 г. в 14:22 ч.</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указанного, на момент подачи заявки Заявителем акт экспертизы происхождения товаров № 030-00-40022 от 01.03.2024 г. являлся недействительным, следовательно, не подтверждает процентную долю стоимости использованных материалов (сырья) иностранного происхождения в цене конечной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требования п. 3 ПП РФ № 102 Заявителем не соблюдены, заявка Заявителя в соответствии с требованиям п. 5 ч. 1 ст. 43 Закона о закупках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поскольку 3 заявки, из 4 поданных, 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положения п. 2 ПП РФ № 102 не применяются.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Аукционной комиссии, не применившей положения п. 2 ПП РФ № 102, нарушений положений Закона о закупках не имеется.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br w:type="page"/>
      </w:r>
    </w:p>
    <w:p>
      <w:pPr>
        <w:pStyle w:val="Style16"/>
        <w:keepNext/>
        <w:keepLines/>
        <w:widowControl w:val="0"/>
        <w:shd w:val="clear" w:color="auto" w:fill="auto"/>
        <w:bidi w:val="0"/>
        <w:spacing w:before="0" w:after="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Торговый дом «Медполимерпром» на действия комиссии ГКУ ПК «Центр организации закупок» при проведении электронного аукциона на поставку изделий медицинского назначения (Контур дыхательный для аппарата ИВЛ) (изв.№ 0356200005124000551) необоснованной.</w:t>
      </w:r>
    </w:p>
    <w:p>
      <w:pPr>
        <w:pStyle w:val="Style13"/>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1"/>
          <w:footnotePr>
            <w:pos w:val="pageBottom"/>
            <w:numFmt w:val="decimal"/>
            <w:numRestart w:val="continuous"/>
          </w:footnotePr>
          <w:pgSz w:w="11900" w:h="16840"/>
          <w:pgMar w:top="1096" w:right="542" w:bottom="1125" w:left="1105" w:header="668" w:footer="3" w:gutter="0"/>
          <w:cols w:space="720"/>
          <w:noEndnote/>
          <w:rtlGutter w:val="0"/>
          <w:docGrid w:linePitch="360"/>
        </w:sectPr>
      </w:pPr>
      <w:r>
        <mc:AlternateContent>
          <mc:Choice Requires="wps">
            <w:drawing>
              <wp:anchor distT="0" distB="396240" distL="0" distR="0" simplePos="0" relativeHeight="125829378" behindDoc="0" locked="0" layoutInCell="1" allowOverlap="1">
                <wp:simplePos x="0" y="0"/>
                <wp:positionH relativeFrom="page">
                  <wp:posOffset>741045</wp:posOffset>
                </wp:positionH>
                <wp:positionV relativeFrom="paragraph">
                  <wp:posOffset>0</wp:posOffset>
                </wp:positionV>
                <wp:extent cx="1667510" cy="201295"/>
                <wp:wrapTopAndBottom/>
                <wp:docPr id="8" name="Shape 8"/>
                <a:graphic xmlns:a="http://schemas.openxmlformats.org/drawingml/2006/main">
                  <a:graphicData uri="http://schemas.microsoft.com/office/word/2010/wordprocessingShape">
                    <wps:wsp>
                      <wps:cNvSpPr txBox="1"/>
                      <wps:spPr>
                        <a:xfrm>
                          <a:ext cx="1667510"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350000000000001pt;margin-top:0;width:131.30000000000001pt;height:15.85pt;z-index:-125829375;mso-wrap-distance-left:0;mso-wrap-distance-right:0;mso-wrap-distance-bottom:31.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60960" distB="0" distL="0" distR="1786255" simplePos="0" relativeHeight="125829380" behindDoc="0" locked="0" layoutInCell="1" allowOverlap="1">
            <wp:simplePos x="0" y="0"/>
            <wp:positionH relativeFrom="page">
              <wp:posOffset>2661285</wp:posOffset>
            </wp:positionH>
            <wp:positionV relativeFrom="paragraph">
              <wp:posOffset>60960</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463550</wp:posOffset>
                </wp:positionV>
                <wp:extent cx="1283335" cy="103505"/>
                <wp:wrapNone/>
                <wp:docPr id="12" name="Shape 1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55000000000001pt;margin-top:36.5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152400</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0" type="#_x0000_t202" style="position:absolute;margin-left:242.20000000000002pt;margin-top:12.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04470" distB="170815" distL="0" distR="0" simplePos="0" relativeHeight="125829381" behindDoc="0" locked="0" layoutInCell="1" allowOverlap="1">
                <wp:simplePos x="0" y="0"/>
                <wp:positionH relativeFrom="page">
                  <wp:posOffset>6102350</wp:posOffset>
                </wp:positionH>
                <wp:positionV relativeFrom="paragraph">
                  <wp:posOffset>204470</wp:posOffset>
                </wp:positionV>
                <wp:extent cx="1088390" cy="222250"/>
                <wp:wrapTopAndBottom/>
                <wp:docPr id="16" name="Shape 16"/>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42" type="#_x0000_t202" style="position:absolute;margin-left:480.5pt;margin-top:16.100000000000001pt;width:85.700000000000003pt;height:17.5pt;z-index:-125829372;mso-wrap-distance-left:0;mso-wrap-distance-top:16.100000000000001pt;mso-wrap-distance-right:0;mso-wrap-distance-bottom:13.4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О0СОС822В29790В5ВЗЕ4ВЕА073ЕВ878651</w:t>
      </w:r>
    </w:p>
    <w:p>
      <w:pPr>
        <w:pStyle w:val="Style26"/>
        <w:keepNext w:val="0"/>
        <w:keepLines w:val="0"/>
        <w:widowControl w:val="0"/>
        <w:shd w:val="clear" w:color="auto" w:fill="auto"/>
        <w:bidi w:val="0"/>
        <w:spacing w:before="0" w:after="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8D8D8D"/>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14.05.2025</w:t>
      </w:r>
    </w:p>
    <w:p>
      <w:pPr>
        <w:pStyle w:val="Style16"/>
        <w:keepNext/>
        <w:keepLines/>
        <w:widowControl w:val="0"/>
        <w:shd w:val="clear" w:color="auto" w:fill="auto"/>
        <w:bidi w:val="0"/>
        <w:spacing w:before="0" w:after="320" w:line="240" w:lineRule="auto"/>
        <w:ind w:left="0" w:right="0" w:firstLine="0"/>
        <w:jc w:val="left"/>
      </w:pPr>
      <w:r>
        <mc:AlternateContent>
          <mc:Choice Requires="wps">
            <w:drawing>
              <wp:anchor distT="0" distB="1122045" distL="114300" distR="114300" simplePos="0" relativeHeight="125829383" behindDoc="0" locked="0" layoutInCell="1" allowOverlap="1">
                <wp:simplePos x="0" y="0"/>
                <wp:positionH relativeFrom="page">
                  <wp:posOffset>6099810</wp:posOffset>
                </wp:positionH>
                <wp:positionV relativeFrom="paragraph">
                  <wp:posOffset>228600</wp:posOffset>
                </wp:positionV>
                <wp:extent cx="1088390" cy="222250"/>
                <wp:wrapSquare wrapText="left"/>
                <wp:docPr id="18" name="Shape 18"/>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wps:txbx>
                      <wps:bodyPr wrap="none" lIns="0" tIns="0" rIns="0" bIns="0">
                        <a:noAutoFit/>
                      </wps:bodyPr>
                    </wps:wsp>
                  </a:graphicData>
                </a:graphic>
              </wp:anchor>
            </w:drawing>
          </mc:Choice>
          <mc:Fallback>
            <w:pict>
              <v:shape id="_x0000_s1044" type="#_x0000_t202" style="position:absolute;margin-left:480.30000000000001pt;margin-top:18.pt;width:85.700000000000003pt;height:17.5pt;z-index:-125829370;mso-wrap-distance-left:9.pt;mso-wrap-distance-right:9.pt;mso-wrap-distance-bottom:88.35000000000000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М.А. Журавлев</w:t>
                      </w:r>
                    </w:p>
                  </w:txbxContent>
                </v:textbox>
                <w10:wrap type="square" side="left" anchorx="page"/>
              </v:shape>
            </w:pict>
          </mc:Fallback>
        </mc:AlternateContent>
      </w:r>
      <w:r>
        <mc:AlternateContent>
          <mc:Choice Requires="wps">
            <w:drawing>
              <wp:anchor distT="1121410" distB="635" distL="376555" distR="114300" simplePos="0" relativeHeight="125829385" behindDoc="0" locked="0" layoutInCell="1" allowOverlap="1">
                <wp:simplePos x="0" y="0"/>
                <wp:positionH relativeFrom="page">
                  <wp:posOffset>6362065</wp:posOffset>
                </wp:positionH>
                <wp:positionV relativeFrom="paragraph">
                  <wp:posOffset>1350010</wp:posOffset>
                </wp:positionV>
                <wp:extent cx="826135" cy="222250"/>
                <wp:wrapSquare wrapText="left"/>
                <wp:docPr id="20" name="Shape 20"/>
                <a:graphic xmlns:a="http://schemas.openxmlformats.org/drawingml/2006/main">
                  <a:graphicData uri="http://schemas.microsoft.com/office/word/2010/wordprocessingShape">
                    <wps:wsp>
                      <wps:cNvSpPr txBox="1"/>
                      <wps:spPr>
                        <a:xfrm>
                          <a:ext cx="826135"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wps:txbx>
                      <wps:bodyPr wrap="none" lIns="0" tIns="0" rIns="0" bIns="0">
                        <a:noAutoFit/>
                      </wps:bodyPr>
                    </wps:wsp>
                  </a:graphicData>
                </a:graphic>
              </wp:anchor>
            </w:drawing>
          </mc:Choice>
          <mc:Fallback>
            <w:pict>
              <v:shape id="_x0000_s1046" type="#_x0000_t202" style="position:absolute;margin-left:500.94999999999999pt;margin-top:106.3pt;width:65.049999999999997pt;height:17.5pt;z-index:-125829368;mso-wrap-distance-left:29.650000000000002pt;mso-wrap-distance-top:88.299999999999997pt;mso-wrap-distance-right:9.pt;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М.Е. Качин</w:t>
                      </w:r>
                    </w:p>
                  </w:txbxContent>
                </v:textbox>
                <w10:wrap type="square" side="left" anchorx="page"/>
              </v:shape>
            </w:pict>
          </mc:Fallback>
        </mc:AlternateContent>
      </w:r>
      <w:bookmarkStart w:id="18" w:name="bookmark18"/>
      <w:r>
        <w:rPr>
          <w:color w:val="000000"/>
          <w:spacing w:val="0"/>
          <w:w w:val="100"/>
          <w:position w:val="0"/>
          <w:sz w:val="24"/>
          <w:szCs w:val="24"/>
          <w:shd w:val="clear" w:color="auto" w:fill="auto"/>
          <w:lang w:val="ru-RU" w:eastAsia="ru-RU" w:bidi="ru-RU"/>
        </w:rPr>
        <w:t>Члены комиссии:</w:t>
      </w:r>
      <w:bookmarkEnd w:id="18"/>
    </w:p>
    <w:p>
      <w:pPr>
        <w:pStyle w:val="Style32"/>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6"/>
        <w:keepNext w:val="0"/>
        <w:keepLines w:val="0"/>
        <w:widowControl w:val="0"/>
        <w:shd w:val="clear" w:color="auto" w:fill="auto"/>
        <w:bidi w:val="0"/>
        <w:spacing w:before="0" w:after="580" w:line="240" w:lineRule="auto"/>
        <w:ind w:right="0" w:firstLine="0"/>
        <w:jc w:val="left"/>
      </w:pPr>
      <w:r>
        <w:rPr>
          <w:color w:val="686868"/>
          <w:spacing w:val="0"/>
          <w:w w:val="100"/>
          <w:position w:val="0"/>
          <w:shd w:val="clear" w:color="auto" w:fill="auto"/>
          <w:lang w:val="ru-RU" w:eastAsia="ru-RU" w:bidi="ru-RU"/>
        </w:rPr>
        <w:t>Действителен с 31.07.2024 по 24.10.2025</w:t>
      </w:r>
    </w:p>
    <w:p>
      <w:pPr>
        <w:pStyle w:val="Style32"/>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Качин Матвей Егорович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79АВ84Е792О7423Е9295С0АОО95ОС7Е7</w:t>
      </w:r>
    </w:p>
    <w:p>
      <w:pPr>
        <w:pStyle w:val="Style26"/>
        <w:keepNext w:val="0"/>
        <w:keepLines w:val="0"/>
        <w:widowControl w:val="0"/>
        <w:shd w:val="clear" w:color="auto" w:fill="auto"/>
        <w:bidi w:val="0"/>
        <w:spacing w:before="0" w:after="580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09.01.2024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03.04.2025</w:t>
      </w:r>
    </w:p>
    <w:p>
      <w:pPr>
        <w:pStyle w:val="Style13"/>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67055" cy="100330"/>
              <wp:wrapNone/>
              <wp:docPr id="2" name="Shape 2"/>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44.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10042525</wp:posOffset>
              </wp:positionV>
              <wp:extent cx="567055" cy="100330"/>
              <wp:wrapNone/>
              <wp:docPr id="4" name="Shape 4"/>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wps:txbx>
                    <wps:bodyPr wrap="none" lIns="0" tIns="0" rIns="0" bIns="0">
                      <a:spAutoFit/>
                    </wps:bodyPr>
                  </wps:wsp>
                </a:graphicData>
              </a:graphic>
            </wp:anchor>
          </w:drawing>
        </mc:Choice>
        <mc:Fallback>
          <w:pict>
            <v:shape id="_x0000_s1030" type="#_x0000_t202" style="position:absolute;margin-left:57.pt;margin-top:790.75pt;width:44.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10042525</wp:posOffset>
              </wp:positionV>
              <wp:extent cx="567055" cy="100330"/>
              <wp:wrapNone/>
              <wp:docPr id="6" name="Shape 6"/>
              <a:graphic xmlns:a="http://schemas.openxmlformats.org/drawingml/2006/main">
                <a:graphicData uri="http://schemas.microsoft.com/office/word/2010/wordprocessingShape">
                  <wps:wsp>
                    <wps:cNvSpPr txBox="1"/>
                    <wps:spPr>
                      <a:xfrm>
                        <a:ext cx="5670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wps:txbx>
                    <wps:bodyPr wrap="none" lIns="0" tIns="0" rIns="0" bIns="0">
                      <a:spAutoFit/>
                    </wps:bodyPr>
                  </wps:wsp>
                </a:graphicData>
              </a:graphic>
            </wp:anchor>
          </w:drawing>
        </mc:Choice>
        <mc:Fallback>
          <w:pict>
            <v:shape id="_x0000_s1032" type="#_x0000_t202" style="position:absolute;margin-left:57.pt;margin-top:790.75pt;width:44.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2025-775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8"/>
      <w:szCs w:val="48"/>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1F1F1F"/>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14141"/>
      <w:sz w:val="12"/>
      <w:szCs w:val="12"/>
      <w:u w:val="none"/>
    </w:rPr>
  </w:style>
  <w:style w:type="character" w:customStyle="1" w:styleId="CharStyle33">
    <w:name w:val="Основной текст (3)_"/>
    <w:basedOn w:val="DefaultParagraphFont"/>
    <w:link w:val="Style32"/>
    <w:rPr>
      <w:rFonts w:ascii="Georgia" w:eastAsia="Georgia" w:hAnsi="Georgia" w:cs="Georgia"/>
      <w:b w:val="0"/>
      <w:bCs w:val="0"/>
      <w:i w:val="0"/>
      <w:iCs w:val="0"/>
      <w:smallCaps w:val="0"/>
      <w:strike w:val="0"/>
      <w:color w:val="1F1F1F"/>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3"/>
    <w:basedOn w:val="Normal"/>
    <w:link w:val="CharStyle17"/>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1"/>
    <w:basedOn w:val="Normal"/>
    <w:link w:val="CharStyle19"/>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6">
    <w:name w:val="Основной текст (2)"/>
    <w:basedOn w:val="Normal"/>
    <w:link w:val="CharStyle27"/>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 w:type="paragraph" w:customStyle="1" w:styleId="Style32">
    <w:name w:val="Основной текст (3)"/>
    <w:basedOn w:val="Normal"/>
    <w:link w:val="CharStyle33"/>
    <w:pPr>
      <w:widowControl w:val="0"/>
      <w:shd w:val="clear" w:color="auto" w:fill="auto"/>
      <w:spacing w:after="100"/>
      <w:ind w:left="3740"/>
    </w:pPr>
    <w:rPr>
      <w:rFonts w:ascii="Georgia" w:eastAsia="Georgia" w:hAnsi="Georgia" w:cs="Georgia"/>
      <w:b w:val="0"/>
      <w:bCs w:val="0"/>
      <w:i w:val="0"/>
      <w:iCs w:val="0"/>
      <w:smallCaps w:val="0"/>
      <w:strike w:val="0"/>
      <w:color w:val="1F1F1F"/>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image" Target="media/image2.jpeg"/><Relationship Id="rId13" Type="http://schemas.openxmlformats.org/officeDocument/2006/relationships/image" Target="media/image2.jpeg" TargetMode="External"/></Relationships>
</file>