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95"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Томской области</w:t>
      </w:r>
    </w:p>
    <w:p>
      <w:pPr>
        <w:pStyle w:val="Style5"/>
        <w:keepNext w:val="0"/>
        <w:keepLines w:val="0"/>
        <w:widowControl w:val="0"/>
        <w:shd w:val="clear" w:color="auto" w:fill="auto"/>
        <w:bidi w:val="0"/>
        <w:spacing w:before="0" w:after="0"/>
        <w:ind w:left="0" w:right="0" w:firstLine="160"/>
        <w:jc w:val="both"/>
      </w:pPr>
      <w:r>
        <w:rPr>
          <w:spacing w:val="0"/>
          <w:w w:val="100"/>
          <w:position w:val="0"/>
          <w:shd w:val="clear" w:color="auto" w:fill="auto"/>
          <w:lang w:val="ru-RU" w:eastAsia="ru-RU" w:bidi="ru-RU"/>
        </w:rPr>
        <w:t>Адрес места нахождения: г.Томск, пр-кт. Ленина, 111</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Почтовый адрес: 634069, г.Томск, пр-кт. Ленина, 111</w:t>
        <w:br/>
        <w:t>тел. (3822) 51-50-61, факс (3822) 51-29-80</w:t>
        <w:br/>
        <w:t>е-таП: 1о70@Гав.§оу.ги</w:t>
      </w:r>
    </w:p>
    <w:p>
      <w:pPr>
        <w:pStyle w:val="Style10"/>
        <w:keepNext w:val="0"/>
        <w:keepLines w:val="0"/>
        <w:widowControl w:val="0"/>
        <w:pBdr>
          <w:bottom w:val="single" w:sz="4" w:space="0" w:color="auto"/>
        </w:pBdr>
        <w:shd w:val="clear" w:color="auto" w:fill="auto"/>
        <w:bidi w:val="0"/>
        <w:spacing w:before="0"/>
        <w:ind w:left="0" w:right="0" w:firstLine="0"/>
        <w:jc w:val="center"/>
      </w:pPr>
      <w:r>
        <w:rPr>
          <w:color w:val="000000"/>
          <w:spacing w:val="0"/>
          <w:w w:val="100"/>
          <w:position w:val="0"/>
          <w:shd w:val="clear" w:color="auto" w:fill="auto"/>
          <w:lang w:val="ru-RU" w:eastAsia="ru-RU" w:bidi="ru-RU"/>
        </w:rPr>
        <w:t>штамп</w:t>
        <w:br/>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регистрации</w:t>
      </w:r>
      <w:r>
        <w:fldChar w:fldCharType="end"/>
      </w:r>
    </w:p>
    <w:p>
      <w:pPr>
        <w:pStyle w:val="Style8"/>
        <w:keepNext w:val="0"/>
        <w:keepLines w:val="0"/>
        <w:widowControl w:val="0"/>
        <w:shd w:val="clear" w:color="auto" w:fill="auto"/>
        <w:bidi w:val="0"/>
        <w:spacing w:before="0" w:after="62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по делу № 070/06/105 37/2025</w:t>
      </w:r>
    </w:p>
    <w:p>
      <w:pPr>
        <w:spacing w:lineRule="exact" w:line="1"/>
        <w:rPr>
          <w:sz w:val="2"/>
          <w:szCs w:val="2"/>
        </w:rPr>
      </w:pPr>
      <w:r>
        <w:br w:type="column"/>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«СибФНКЦ ФМБА России» 636000, г. Северск, ул. Мира, 4 кЪ81@ГтЪатай.ги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 Тараса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Шевченко, д. 23А, 25 этаж, помещение 1</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ко@г18-1епдег.ги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«Медпоставщик» 660111, г. Красноярск, ул.</w:t>
      </w:r>
    </w:p>
    <w:p>
      <w:pPr>
        <w:pStyle w:val="Style15"/>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84" w:right="795" w:bottom="1217" w:left="1144" w:header="0" w:footer="3" w:gutter="0"/>
          <w:pgNumType w:start="1"/>
          <w:cols w:num="2" w:space="720" w:equalWidth="0">
            <w:col w:w="4061" w:space="1200"/>
            <w:col w:w="4699"/>
          </w:cols>
          <w:noEndnote/>
          <w:rtlGutter w:val="0"/>
          <w:docGrid w:linePitch="360"/>
        </w:sectPr>
      </w:pPr>
      <w:r>
        <w:rPr>
          <w:color w:val="000000"/>
          <w:spacing w:val="0"/>
          <w:w w:val="100"/>
          <w:position w:val="0"/>
          <w:shd w:val="clear" w:color="auto" w:fill="auto"/>
          <w:lang w:val="ru-RU" w:eastAsia="ru-RU" w:bidi="ru-RU"/>
        </w:rPr>
        <w:t>Пограничников, д. 103г, каб. 2 тедро81:20@тай.ш</w:t>
      </w:r>
    </w:p>
    <w:p>
      <w:pPr>
        <w:widowControl w:val="0"/>
        <w:spacing w:line="240" w:lineRule="exact"/>
        <w:rPr>
          <w:sz w:val="19"/>
          <w:szCs w:val="19"/>
        </w:rPr>
      </w:pP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070/06/105-37/2025</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5"/>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6569710</wp:posOffset>
                </wp:positionH>
                <wp:positionV relativeFrom="paragraph">
                  <wp:posOffset>12700</wp:posOffset>
                </wp:positionV>
                <wp:extent cx="633730" cy="252730"/>
                <wp:wrapSquare wrapText="left"/>
                <wp:docPr id="4" name="Shape 4"/>
                <a:graphic xmlns:a="http://schemas.openxmlformats.org/drawingml/2006/main">
                  <a:graphicData uri="http://schemas.microsoft.com/office/word/2010/wordprocessingShape">
                    <wps:wsp>
                      <wps:cNvSpPr txBox="1"/>
                      <wps:spPr>
                        <a:xfrm>
                          <a:ext cx="63373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Томск</w:t>
                            </w:r>
                          </w:p>
                        </w:txbxContent>
                      </wps:txbx>
                      <wps:bodyPr wrap="none" lIns="0" tIns="0" rIns="0" bIns="0">
                        <a:noAutoFit/>
                      </wps:bodyPr>
                    </wps:wsp>
                  </a:graphicData>
                </a:graphic>
              </wp:anchor>
            </w:drawing>
          </mc:Choice>
          <mc:Fallback>
            <w:pict>
              <v:shape id="_x0000_s1030" type="#_x0000_t202" style="position:absolute;margin-left:517.29999999999995pt;margin-top:1.pt;width:49.899999999999999pt;height:19.900000000000002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Томск</w:t>
                      </w:r>
                    </w:p>
                  </w:txbxContent>
                </v:textbox>
                <w10:wrap type="square" side="left" anchorx="page"/>
              </v:shape>
            </w:pict>
          </mc:Fallback>
        </mc:AlternateContent>
      </w:r>
      <w:r>
        <w:rPr>
          <w:color w:val="000000"/>
          <w:spacing w:val="0"/>
          <w:w w:val="100"/>
          <w:position w:val="0"/>
          <w:shd w:val="clear" w:color="auto" w:fill="auto"/>
          <w:lang w:val="ru-RU" w:eastAsia="ru-RU" w:bidi="ru-RU"/>
        </w:rPr>
        <w:t>22.01.2025</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председателя комиссии:</w:t>
      </w:r>
    </w:p>
    <w:p>
      <w:pPr>
        <w:pStyle w:val="Style15"/>
        <w:keepNext w:val="0"/>
        <w:keepLines w:val="0"/>
        <w:widowControl w:val="0"/>
        <w:shd w:val="clear" w:color="auto" w:fill="auto"/>
        <w:tabs>
          <w:tab w:pos="2677" w:val="left"/>
        </w:tabs>
        <w:bidi w:val="0"/>
        <w:spacing w:before="0" w:after="0" w:line="240" w:lineRule="auto"/>
        <w:ind w:left="0" w:right="0" w:firstLine="0"/>
        <w:jc w:val="both"/>
      </w:pPr>
      <w:r>
        <w:rPr>
          <w:color w:val="000000"/>
          <w:spacing w:val="0"/>
          <w:w w:val="100"/>
          <w:position w:val="0"/>
          <w:shd w:val="clear" w:color="auto" w:fill="auto"/>
          <w:lang w:val="ru-RU" w:eastAsia="ru-RU" w:bidi="ru-RU"/>
        </w:rPr>
        <w:t>СИМ</w:t>
        <w:tab/>
        <w:t>- заместителя руководителя управления;</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членов комиссии:</w:t>
      </w:r>
    </w:p>
    <w:p>
      <w:pPr>
        <w:pStyle w:val="Style15"/>
        <w:keepNext w:val="0"/>
        <w:keepLines w:val="0"/>
        <w:widowControl w:val="0"/>
        <w:shd w:val="clear" w:color="auto" w:fill="auto"/>
        <w:tabs>
          <w:tab w:pos="2677"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ДАВ</w:t>
        <w:tab/>
        <w:t>- врио начальника отдела монополистической деятельности;</w:t>
      </w:r>
    </w:p>
    <w:p>
      <w:pPr>
        <w:pStyle w:val="Style15"/>
        <w:keepNext w:val="0"/>
        <w:keepLines w:val="0"/>
        <w:widowControl w:val="0"/>
        <w:shd w:val="clear" w:color="auto" w:fill="auto"/>
        <w:tabs>
          <w:tab w:pos="2677" w:val="left"/>
        </w:tabs>
        <w:bidi w:val="0"/>
        <w:spacing w:before="0" w:after="0" w:line="240" w:lineRule="auto"/>
        <w:ind w:left="0" w:right="0" w:firstLine="0"/>
        <w:jc w:val="both"/>
      </w:pPr>
      <w:r>
        <w:rPr>
          <w:color w:val="000000"/>
          <w:spacing w:val="0"/>
          <w:w w:val="100"/>
          <w:position w:val="0"/>
          <w:shd w:val="clear" w:color="auto" w:fill="auto"/>
          <w:lang w:val="ru-RU" w:eastAsia="ru-RU" w:bidi="ru-RU"/>
        </w:rPr>
        <w:t>МДА</w:t>
        <w:tab/>
        <w:t>- ведущего специалиста — эксперта отдела контроля органов</w:t>
      </w:r>
    </w:p>
    <w:p>
      <w:pPr>
        <w:pStyle w:val="Style15"/>
        <w:keepNext w:val="0"/>
        <w:keepLines w:val="0"/>
        <w:widowControl w:val="0"/>
        <w:shd w:val="clear" w:color="auto" w:fill="auto"/>
        <w:bidi w:val="0"/>
        <w:spacing w:before="0" w:after="0" w:line="240" w:lineRule="auto"/>
        <w:ind w:left="2640" w:right="0" w:firstLine="0"/>
        <w:jc w:val="both"/>
      </w:pPr>
      <w:r>
        <w:rPr>
          <w:color w:val="000000"/>
          <w:spacing w:val="0"/>
          <w:w w:val="100"/>
          <w:position w:val="0"/>
          <w:shd w:val="clear" w:color="auto" w:fill="auto"/>
          <w:lang w:val="ru-RU" w:eastAsia="ru-RU" w:bidi="ru-RU"/>
        </w:rPr>
        <w:t>власти и торгов,</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рассмотрев жалобу, поступившую от ООО «Медпоставщик» (вх. №3087/25 от 17.01.2025) на действия Заказчика - ФГБУ «СибФНКЦ ФМБА России» при проведении электронного аукциона по объекту закупки «Поставка товара (Перчатки хирургические)» (извещение № 0365100016324000681),</w:t>
      </w:r>
    </w:p>
    <w:p>
      <w:pPr>
        <w:pStyle w:val="Style15"/>
        <w:keepNext w:val="0"/>
        <w:keepLines w:val="0"/>
        <w:widowControl w:val="0"/>
        <w:shd w:val="clear" w:color="auto" w:fill="auto"/>
        <w:bidi w:val="0"/>
        <w:spacing w:before="0" w:after="280" w:line="240" w:lineRule="auto"/>
        <w:ind w:left="0" w:right="0" w:firstLine="760"/>
        <w:jc w:val="both"/>
      </w:pPr>
      <w:r>
        <w:rPr>
          <w:color w:val="000000"/>
          <w:spacing w:val="0"/>
          <w:w w:val="100"/>
          <w:position w:val="0"/>
          <w:shd w:val="clear" w:color="auto" w:fill="auto"/>
          <w:lang w:val="ru-RU" w:eastAsia="ru-RU" w:bidi="ru-RU"/>
        </w:rPr>
        <w:t>при участии посредством ВКС представителя Заказчика - КАВ. (доверенность № 75 от 25.12.2024), в отсутствие представителя Заявителя, о дате и месте рассмотрения дела извещенного надлежащим образом,</w:t>
      </w:r>
    </w:p>
    <w:p>
      <w:pPr>
        <w:pStyle w:val="Style17"/>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284" w:right="454" w:bottom="1217" w:left="1096"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15"/>
        <w:keepNext w:val="0"/>
        <w:keepLines w:val="0"/>
        <w:widowControl w:val="0"/>
        <w:shd w:val="clear" w:color="auto" w:fill="auto"/>
        <w:bidi w:val="0"/>
        <w:spacing w:before="32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Томское УФАС России обратился Заявитель с жалобой, поданной в срок и соответствующей статье 105 Закона 44-ФЗ на действия Заказчика — ФГБУ «СибФНКЦ ФМБА России» при осуществлении электронного аукциона: «Поставка товара (Перчатки хирургические)» (извещение № 0365100016324000681),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жалобы Заявителя следует, что описание объекта закупки нарушает действующее законодательства по следующим основаниям:</w:t>
      </w:r>
    </w:p>
    <w:p>
      <w:pPr>
        <w:pStyle w:val="Style15"/>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по позициям № 15-24 установлено требование: «Приемлемый уровень качества (ЛС)1/) &lt; 0,65». В соответствии с пунктом 5.1 ГОСТ Р 52238-2004 (ИСО 10282:2002). «Национальный стандарт Российской Федерации. Перчатки хирургические из каучукового латекса стерильные одноразовые. Спецификация» (далее — ГОСТ Р 52238-2004) значение показателя «уровень ЛС)1.» не является ориентированным. Установленное требование к уровню качества поставляемого товара (АС)1. &lt; 0.65), превышает минимальные показатели, предусмотренные национальным стандартом ГОСТ Р 52238-2004.</w:t>
      </w:r>
    </w:p>
    <w:p>
      <w:pPr>
        <w:pStyle w:val="Style15"/>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по позициям № 2-7, 15-24 необоснованно установлена характеристика «Индивидуальная упаковка-полимерная».</w:t>
      </w:r>
    </w:p>
    <w:p>
      <w:pPr>
        <w:pStyle w:val="Style15"/>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по позиции № 21 установлено необоснованное требование о толщине свинца: «Перчатки хирургические из латекса гевеи, неопудренные, материал: Содержит оксид висмута, не содержит свинец. Эквивалентная толщина свинца (указана на индивидуальной упаковке) &gt;0,03.</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не согласен с доводами жалобы, просит признать жалобу необоснованной.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закупки в форме электронного аукциона «Поставка товара (Перчатки хирургические), (извещение № 0365100016324000681) размещено на Официальном сайте единой информационной системы в сфере закупок в информационно-телекоммуникационной сети Интернет (далее - Официальный сайт, ЕИС) 27.12.2024.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5 199 255,00 руб.</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 Поставка товара (Перчатки хирургические).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5"/>
        <w:keepNext w:val="0"/>
        <w:keepLines w:val="0"/>
        <w:widowControl w:val="0"/>
        <w:shd w:val="clear" w:color="auto" w:fill="auto"/>
        <w:bidi w:val="0"/>
        <w:spacing w:before="0" w:after="0" w:line="271"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w:t>
      </w:r>
      <w:r>
        <w:rPr>
          <w:color w:val="000000"/>
          <w:spacing w:val="0"/>
          <w:w w:val="100"/>
          <w:position w:val="0"/>
          <w:sz w:val="24"/>
          <w:szCs w:val="24"/>
          <w:shd w:val="clear" w:color="auto" w:fill="auto"/>
          <w:lang w:val="ru-RU" w:eastAsia="ru-RU" w:bidi="ru-RU"/>
        </w:rPr>
        <w:t>2025-455</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содержащий описание объекта закупки в соответствии со статьей 33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Правила описания объекта закупки определены в статье 33 Закона о контрактной системе, а также подзаконными актами, разработанными в целях реализации данной нормы.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Томского УФАС России отмечает, что из содержания пункта 2 части 1 статьи 33 Закона о контрактной системе следует, что Заказчики должны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66" w:lineRule="auto"/>
        <w:ind w:left="0" w:right="0" w:firstLine="720"/>
        <w:jc w:val="both"/>
        <w:rPr>
          <w:sz w:val="24"/>
          <w:szCs w:val="24"/>
        </w:rPr>
        <w:sectPr>
          <w:headerReference w:type="default" r:id="rId8"/>
          <w:footerReference w:type="default" r:id="rId9"/>
          <w:footnotePr>
            <w:pos w:val="pageBottom"/>
            <w:numFmt w:val="decimal"/>
            <w:numRestart w:val="continuous"/>
          </w:footnotePr>
          <w:pgSz w:w="11900" w:h="16840"/>
          <w:pgMar w:top="1662" w:right="534" w:bottom="803" w:left="1104" w:header="0" w:footer="37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соответствии с частью 1 статьи 12 Закона о контрактной системе 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 При этом, в зависимости от своих потребностей Заказчик в описании объекта закупки должен установить требования, в том числе к качеству, техническим </w:t>
      </w:r>
      <w:r>
        <w:rPr>
          <w:color w:val="000000"/>
          <w:spacing w:val="0"/>
          <w:w w:val="100"/>
          <w:position w:val="0"/>
          <w:sz w:val="24"/>
          <w:szCs w:val="24"/>
          <w:shd w:val="clear" w:color="auto" w:fill="auto"/>
          <w:lang w:val="ru-RU" w:eastAsia="ru-RU" w:bidi="ru-RU"/>
        </w:rPr>
        <w:t>2025-455</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характеристикам (потребительским свойствам)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конкуренции при проведении торгов. В связи с чем, Заказчик вправе включить в описание объекта закупки такие характеристики и требования к товару,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2 статьи 33 Закона о контрактной системе предусмотрено, что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толкования положений статьи 33 Закона о контрактной системе, при описании объекта закупки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Заказчик вправе в необходимой степени детализировать требования к товару, работе, услуге.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Аналогичная правовая позиция отражена в судебной практике (Постановление Арбитражного суда Уральского округа от 06.04.2023 № Ф09-1213/23 по делу № А34- 12851/2021, Постановление Арбитражного суда Западно-Сибирского округа от 13.04.2023 № Ф04-1209/2023 по делу № А81-8369/2022).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Соответственно,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 которые отвечают его потребностям и необходимы для выполнения соответствующих функций, детализируя в необходимой степени предмет закупок, то есть при описании товара Заказчик вправе указывать качественные параметры к объекту закупок, которые являются определяющими для него.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Томского УФАС России отмечает, что в рассматриваемом случае Заказчиком выступает медицинская организация, оказывающая в том числе экстренную помощь пациентам, а в качестве объекта закупки выступает товар - перчатки, используемые при оперативных вмешательствах и осмотре пациентов.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Факт установления Заказчиком отдельных требований к определенным характеристикам товара не свидетельствует об ограничении количества участников конкурентной процедуры, а определяется потребностями Заказчика в медицинских изделиях с конкретными свойствами.</w:t>
      </w:r>
    </w:p>
    <w:p>
      <w:pPr>
        <w:pStyle w:val="Style15"/>
        <w:keepNext w:val="0"/>
        <w:keepLines w:val="0"/>
        <w:widowControl w:val="0"/>
        <w:shd w:val="clear" w:color="auto" w:fill="auto"/>
        <w:bidi w:val="0"/>
        <w:spacing w:before="0" w:after="0" w:line="240" w:lineRule="auto"/>
        <w:ind w:left="0" w:right="0" w:firstLine="720"/>
        <w:jc w:val="both"/>
        <w:sectPr>
          <w:headerReference w:type="default" r:id="rId10"/>
          <w:footerReference w:type="default" r:id="rId11"/>
          <w:footnotePr>
            <w:pos w:val="pageBottom"/>
            <w:numFmt w:val="decimal"/>
            <w:numRestart w:val="continuous"/>
          </w:footnotePr>
          <w:pgSz w:w="11900" w:h="16840"/>
          <w:pgMar w:top="1666" w:right="536" w:bottom="1253" w:left="1106" w:header="0" w:footer="3" w:gutter="0"/>
          <w:cols w:space="720"/>
          <w:noEndnote/>
          <w:rtlGutter w:val="0"/>
          <w:docGrid w:linePitch="360"/>
        </w:sectPr>
      </w:pPr>
      <w:r>
        <w:rPr>
          <w:color w:val="000000"/>
          <w:spacing w:val="0"/>
          <w:w w:val="100"/>
          <w:position w:val="0"/>
          <w:shd w:val="clear" w:color="auto" w:fill="auto"/>
          <w:lang w:val="ru-RU" w:eastAsia="ru-RU" w:bidi="ru-RU"/>
        </w:rPr>
        <w:t>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Российской Федерации 28.06.2017, по общему</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Относительного первого довода Заявителя, Комиссия Томского УФАС России сообщает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по позициям № 15-24 установлено требование: «Приемлемый уровень качества (ЛС)1/) &lt; 0,65». По мнению Заявителя, в соответствии с пунктом 5.1 ГОСТ Р 52238-2004 значение показателя «уровень ЛС)1.» не является ориентированным. Установленное требование к уровню качества поставляемого товара (АС)1. &lt; 0.65), превышает минимальные показатели, предусмотренные национальным стандартом ГОСТ Р 52238-2004.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Томского УФАС России представитель Заказчика пояснил, что числовое значение этого параметра показывает процент допустимого брака на всю партию. ЛС)1. 1,5 будет обозначать, что в партии не более 1,5 процентов брака, т.е. в упаковке из 200 перчаток должно быть не более 3 штук бракованных. Если ЛС)1. равен 1, то в упаковке из 200 перчаток, должно быть не более 2 бракованных перчаток. Соответственно, чем ниже это значение, тем выше качество перчаток.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незначительно повышение уровня ЛС)1. ведет к значительному гарантированному снижению количества дефектных перчаток в партии.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Требование к показателю ЛС)1. установлено с учетом потребности Заказчика. Значение ЛС)1. 1.5, указанное в ГОСТ Р 52238-2004, является не строго определенным значением, которое заказчики должны устанавливать при описании объекта закупки в виде «1,5», а является максимально допустимым пороговым значением, после которого перчатки уже не допускаются к использованию из-за высокого процента брака.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Наиболее часто встречаются смотровые и хирургические перчатки с ЛС)1. 1,5. Это стандартный уровень качества, поддерживаемый практически всеми производителями перчаток. ГОСТ допускает значение ЛС)1. не более 1,5, но перчатки с такими параметрами уже будут считаться не самыми качественными. Производители качественных хирургических перчаток заявляют о своей продукции как соответствующей ЛС)1. 1.0 и 0.65.</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Комиссии Томского УФАС России установлено, что большой опыт закупок перчаток Заказчиком показал, что часто хирургические перчатки с ЛС)1. 1,5 рвутся либо имеют иные недостатки, которые недопустимы при оказании медицинской помощи.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Из-за большого числа забракованной продукции Заказчик несет значительные убытки, поскольку в процессе использования вместо одной пары перчаток он должен будет использовать как минимум две и более, что приведет к перерасходу количества использованных перчаток.</w:t>
      </w:r>
    </w:p>
    <w:p>
      <w:pPr>
        <w:pStyle w:val="Style15"/>
        <w:keepNext w:val="0"/>
        <w:keepLines w:val="0"/>
        <w:widowControl w:val="0"/>
        <w:shd w:val="clear" w:color="auto" w:fill="auto"/>
        <w:bidi w:val="0"/>
        <w:spacing w:before="0" w:after="0" w:line="302" w:lineRule="auto"/>
        <w:ind w:left="0" w:right="0" w:firstLine="720"/>
        <w:jc w:val="both"/>
        <w:rPr>
          <w:sz w:val="24"/>
          <w:szCs w:val="24"/>
        </w:rPr>
        <w:sectPr>
          <w:headerReference w:type="default" r:id="rId12"/>
          <w:footerReference w:type="default" r:id="rId13"/>
          <w:footnotePr>
            <w:pos w:val="pageBottom"/>
            <w:numFmt w:val="decimal"/>
            <w:numRestart w:val="continuous"/>
          </w:footnotePr>
          <w:pgSz w:w="11900" w:h="16840"/>
          <w:pgMar w:top="1666" w:right="536" w:bottom="764" w:left="1106" w:header="0" w:footer="336"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практике Заказчика имеются факты, когда поставщик поставлял некачественные перчатки, которые вызывали аллергию у персонала и которые </w:t>
      </w:r>
      <w:r>
        <w:rPr>
          <w:color w:val="000000"/>
          <w:spacing w:val="0"/>
          <w:w w:val="100"/>
          <w:position w:val="0"/>
          <w:sz w:val="24"/>
          <w:szCs w:val="24"/>
          <w:shd w:val="clear" w:color="auto" w:fill="auto"/>
          <w:lang w:val="ru-RU" w:eastAsia="ru-RU" w:bidi="ru-RU"/>
        </w:rPr>
        <w:t>2025-455</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Заказчик возвращал поставщику. Таким образом, в целях обеспечения безопасности медицинского персонала и пациентов, Заказчиком закупаются хирургические перчатки более высокого качества - ЛС)1. 0,65.</w:t>
      </w:r>
    </w:p>
    <w:p>
      <w:pPr>
        <w:pStyle w:val="Style15"/>
        <w:keepNext w:val="0"/>
        <w:keepLines w:val="0"/>
        <w:widowControl w:val="0"/>
        <w:shd w:val="clear" w:color="auto" w:fill="auto"/>
        <w:bidi w:val="0"/>
        <w:spacing w:before="0" w:after="140" w:line="240" w:lineRule="auto"/>
        <w:ind w:left="0" w:right="0" w:firstLine="720"/>
        <w:jc w:val="both"/>
      </w:pPr>
      <w:r>
        <w:rPr>
          <w:color w:val="000000"/>
          <w:spacing w:val="0"/>
          <w:w w:val="100"/>
          <w:position w:val="0"/>
          <w:shd w:val="clear" w:color="auto" w:fill="auto"/>
          <w:lang w:val="ru-RU" w:eastAsia="ru-RU" w:bidi="ru-RU"/>
        </w:rPr>
        <w:t>Согласно ГОСТ Р 52238-2004 установлены следующие показатели А^^:</w:t>
      </w:r>
    </w:p>
    <w:tbl>
      <w:tblPr>
        <w:tblOverlap w:val="never"/>
        <w:jc w:val="center"/>
        <w:tblLayout w:type="fixed"/>
      </w:tblPr>
      <w:tblGrid>
        <w:gridCol w:w="5107"/>
        <w:gridCol w:w="2947"/>
        <w:gridCol w:w="2102"/>
      </w:tblGrid>
      <w:tr>
        <w:trPr>
          <w:trHeight w:val="336"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Характеристика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Уровень контроля</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АС)1.</w:t>
            </w:r>
          </w:p>
        </w:tc>
      </w:tr>
      <w:tr>
        <w:trPr>
          <w:trHeight w:val="331"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Размеры (ширина, длина, толщина)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8-2</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4,0</w:t>
            </w:r>
          </w:p>
        </w:tc>
      </w:tr>
      <w:tr>
        <w:trPr>
          <w:trHeight w:val="326" w:hRule="exact"/>
        </w:trPr>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Герметичность</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О-1</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1,5</w:t>
            </w:r>
          </w:p>
        </w:tc>
      </w:tr>
      <w:tr>
        <w:trPr>
          <w:trHeight w:val="662" w:hRule="exact"/>
        </w:trPr>
        <w:tc>
          <w:tcPr>
            <w:tcBorders>
              <w:top w:val="single" w:sz="4"/>
              <w:left w:val="single" w:sz="4"/>
              <w:bottom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Усилие и удлинение в момент разрыва (до и после ускоренного старения)</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8-2</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4,0</w:t>
            </w:r>
          </w:p>
        </w:tc>
      </w:tr>
    </w:tbl>
    <w:p>
      <w:pPr>
        <w:widowControl w:val="0"/>
        <w:spacing w:after="199" w:line="1" w:lineRule="exact"/>
      </w:pP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То есть, чем ниже показатель ЛС)1. (1,5 ниже 2,5; 1.0 ниже 1,5 и т.п.), тем продукция отвечает более высоким стандартам качества. В результате многолетней работы заказчик пришел к выводу, что перчатки большинства российских поставщиков, заявленные с ЛС)1. 1,5, не выдерживает этих требований. Таким образом, чем меньше значение АС)1., тем выше качество перчаток.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ГОСТ Р 52238-2004 указаны допустимые уровни качества, а не оптимальные. Положения ГОСТ Р 52238-2004 не ограничивают заказчика по включению в документацию требований к товару, являющихся значимыми для него и необходимыми для реализации потребностей заказчика, в том числе к предъявлению требований в отношении качества выпущенной партии товара.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в зависимости от своих потребностей Заказчик вправе установить требуемые ему значения АС)Е. Требование к АС)1. связано с тем, что данные перчатки планируется использовать в медицинских манипуляциях, связанных с повышенным риском для медицинского персонала. Учитывая особенность применения данных перчаток, Заказчику важно максимально снизить уровень опасности для персонала, в том числе, закупая для этого перчатки с указанным в Техническом задании уровнем АС)Е.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наличие брака в поставленном товаре создает лишние временные сложности для потребителя, связанные с заменой бракованного товара поставщиком, что в условиях работы медицинского учреждения является критичным фактором.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Из-за большого числа забракованной продукции Заказчик несет значительные убытки, поскольку в процессе использования вместо одной пары перчаток он должен будет использовать как минимум две и более, что приведет к перерасходу количества использованных перчаток.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Заявителем не представлено доказательств, что указанное требование является избыточным и влечет за собой необоснованное сокращение участников закупок и ограничивает права заявителя на участие в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Томского УФАС России приходит к выводу, что данный довод жалобы является необоснованным, в действиях Заказчика не установлено нарушений Закона о контрактной системе.</w:t>
      </w:r>
    </w:p>
    <w:p>
      <w:pPr>
        <w:pStyle w:val="Style15"/>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Относительного второго довода Заявителя, Комиссия Томского УФАС России установила следующее.</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описании объекта закупки по позициям № 2-7, 15-24 к поставке требуются: «Перчатки хирургические из латекса гевеи, неопудренные, имеющие индивидуальную полимерную упаковку для обеспечения механической прочности и защиты от влаги и озона».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Томского УФАС России представитель Заказчика пояснил, что указанное требование установлено в связи с необходимостью обеспечения механической прочности, в т.ч. для защиты от влаги, газов и озона. В процессе хранения индивидуальная упаковка перчаток подвергается воздействию многих негативных факторов, которые могут привести к повреждению упаковки и перчаток внутри. В первую очередь существует риск контакта с влагой, антисептиками и озоном. Потребность в полимерной синтетической упаковке обосновывается тем, что бумажная упаковка не защищает перчатки от внешних факторов воздействия, неустойчива к механическим повреждениям и влаге, проницаема для озона.</w:t>
      </w:r>
    </w:p>
    <w:p>
      <w:pPr>
        <w:pStyle w:val="Style15"/>
        <w:keepNext w:val="0"/>
        <w:keepLines w:val="0"/>
        <w:widowControl w:val="0"/>
        <w:shd w:val="clear" w:color="auto" w:fill="auto"/>
        <w:tabs>
          <w:tab w:pos="86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процессе вскрытия полимерной синтетической упаковки исключен риск контаминации перчаток частицами вискозы. Бумажная упаковка, при разрыве образует микроволокна вискозы, которые могут попасть в окружающий воздух, на перчатки и далее в операционное поле (ГОСТ 180</w:t>
        <w:tab/>
        <w:t>11607-1-2018</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«Межгосударственный стандарт. Упаковка для медицинских изделий, подлежащих финишной стерилизации. Часть 1. Требования к материалам, барьерным системам для стерилизации и упаковочным системам»).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только перчатки, упакованные в полимерную упаковку могут быть стерилизованы радиационным методом. Учитывая, что Заказчиком обосновано устанавливается требования к стерилизации радиационным методом, Заказчик не мог противоречить себе и установить вариант упаковки - бумажный или иной, поскольку указанная упаковка не допускается при соответствующем методе стерилизации. Перчатки стерилизуются на конечном этапе производства, будучи упакованными в итоговую потребительскую упаковку.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ГОСТ Р 52238-2004 отсутствует указание на определенный вид упаковки.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действующее законодательство предоставляет Заказчику возможность организации определения поставщика по закупке именно того товара, который является для него необходимым. Как следует из определения Верховного Суда Российской Федерации от 04.05.2017 по делу № А08-1545/2016 «Основной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p>
    <w:p>
      <w:pPr>
        <w:pStyle w:val="Style15"/>
        <w:keepNext w:val="0"/>
        <w:keepLines w:val="0"/>
        <w:widowControl w:val="0"/>
        <w:shd w:val="clear" w:color="auto" w:fill="auto"/>
        <w:bidi w:val="0"/>
        <w:spacing w:before="0" w:after="0" w:line="240" w:lineRule="auto"/>
        <w:ind w:left="0" w:right="0" w:firstLine="720"/>
        <w:jc w:val="both"/>
        <w:sectPr>
          <w:headerReference w:type="default" r:id="rId14"/>
          <w:footerReference w:type="default" r:id="rId15"/>
          <w:footnotePr>
            <w:pos w:val="pageBottom"/>
            <w:numFmt w:val="decimal"/>
            <w:numRestart w:val="continuous"/>
          </w:footnotePr>
          <w:pgSz w:w="11900" w:h="16840"/>
          <w:pgMar w:top="1666" w:right="542" w:bottom="1296" w:left="1105" w:header="0" w:footer="3" w:gutter="0"/>
          <w:cols w:space="720"/>
          <w:noEndnote/>
          <w:rtlGutter w:val="0"/>
          <w:docGrid w:linePitch="360"/>
        </w:sectPr>
      </w:pPr>
      <w:r>
        <w:rPr>
          <w:color w:val="000000"/>
          <w:spacing w:val="0"/>
          <w:w w:val="100"/>
          <w:position w:val="0"/>
          <w:shd w:val="clear" w:color="auto" w:fill="auto"/>
          <w:lang w:val="ru-RU" w:eastAsia="ru-RU" w:bidi="ru-RU"/>
        </w:rPr>
        <w:t>На основании вышеизложенного Комиссия Томского УФАС России приходит к выводу, что довод жалобы является необоснованным, в действиях Заказчика не установлено нарушений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третьего довода Заявителя, Комиссия Томского УФАС России сообщает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Томского УФАС России установлено, что в описании объекта закупки к поставке требуются: «Перчатки хирургические из латекса гевеи, неопудренные, содержащие оксид висмута, не содержат свинец, для исключения токсичности действия на организм человека и простоты утилизации. Эквивалентная толщина свинца (указана на индивидуальной упаковке): для защиты рук специалиста в рентген-хирургии».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Национальный стандарт ГОСТ Р 52238-2004 устанавливает минимально допустимые требования к хирургическим перчаткам.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Томского УФАС России установлено, что описание изделий на упаковке с указанием их специфических свойств не запрещено стандартами РФ.</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Комиссии Томского УФАС России установлено, что Заказчик при описании объекта закупки руководствовался требованиям системы национальной стандартизации ММР 3.5.1.0113-16 (далее — требования).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4.6 Требований при выборе типа хирургических перчаток необходимо принимать во внимание особые условия вида оперативного вмешательства, которые могут быть удовлетворены за счёт дополнительных свойств перчаток: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радиозащитные хирургические перчатки из латекса, обеспечивающие радиационную защиту от рассеянного рентгеновского излучения, позволяют снизить дозовую нагрузку на кожу рук.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радиозащитные перчатки предусмотрены требованиям системы национальной стандартизации ММР 3.5.1.0113-16.</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соответствии с п. 6.1.7 ГОСТ Р 57493-217 установлены требования к характеристикам, в том числе к свинцовому эквиваленту, а также к используемым наполнителям для изготовления перчаток.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Указанные характеристики представлены в виде требований к материалу наполнителя (оксид висмута) и свинцовому эквиваленту (эквивалентная толщина свинца).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Томского УФАС России установлено, что в ГОСТ Р 57493-217 в справочном приложении «Б» установлен пример технического задания для государственных закупок, где свинцовый элемент приведен в виде установленной формулировки «не менее 0,03 мм».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ГОСТ Р 57493-2017 указано, что значение толщины эквивалента свинца (оксид висмута) устанавливается Заказчиком самостоятельно посредством расчета степени ослабления при тех или иных видах напряжений.</w:t>
      </w:r>
    </w:p>
    <w:p>
      <w:pPr>
        <w:pStyle w:val="Style15"/>
        <w:keepNext w:val="0"/>
        <w:keepLines w:val="0"/>
        <w:widowControl w:val="0"/>
        <w:shd w:val="clear" w:color="auto" w:fill="auto"/>
        <w:bidi w:val="0"/>
        <w:spacing w:before="0" w:after="0" w:line="262"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Комиссия Управления отмечает, что 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Российской Федерации 28.06.2017, по общему правилу указание заказчиком в аукционной документации особых характеристик товара, которые отвечают его потребностям и необходимы </w:t>
      </w:r>
      <w:r>
        <w:rPr>
          <w:color w:val="000000"/>
          <w:spacing w:val="0"/>
          <w:w w:val="100"/>
          <w:position w:val="0"/>
          <w:sz w:val="24"/>
          <w:szCs w:val="24"/>
          <w:shd w:val="clear" w:color="auto" w:fill="auto"/>
          <w:lang w:val="ru-RU" w:eastAsia="ru-RU" w:bidi="ru-RU"/>
        </w:rPr>
        <w:t>2025-455</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 ст. 4 Федерального закона от 21.11.2011 № 323-ФЗ «Об основах охраны здоровья граждан в Российской Федерации» одним из основных принципов охраны здоровья является приоритет интересов пациента при оказании медицинской помощи.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Предъявляя определенные требования к функциональным, техническим и качественным характеристикам, эксплуатационным характеристикам объекта закупки, Заказчик в первую очередь руководствуется тем, что изделия оказывают непосредственное влияние на здоровье и жизнь человека, при установлении конкретных требований к предмету закупок, главным является достижение при лечении пациентов наилучшего терапевтического эффекта и максимальное исключение любых нежелательных реакций и последствий.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рассматриваемом случае, Заявитель не доказал тот факт, что оспариваемое требование к товару, включенное в Описание объекта закупки, является излишним и создало кому-либо преимущества для участия в закупке, являлись непреодолимыми для участия в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ходе заседания Комиссии Томского УФАС России доказан факт того, что к поставке подходят следующие перчатки:</w:t>
      </w:r>
    </w:p>
    <w:p>
      <w:pPr>
        <w:pStyle w:val="Style15"/>
        <w:keepNext w:val="0"/>
        <w:keepLines w:val="0"/>
        <w:widowControl w:val="0"/>
        <w:numPr>
          <w:ilvl w:val="0"/>
          <w:numId w:val="3"/>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 РУ: ФСЗ 2010/07613 от 23.06.2014, производитель: КаШахоп.</w:t>
      </w:r>
    </w:p>
    <w:p>
      <w:pPr>
        <w:pStyle w:val="Style15"/>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 РУ: ФСЗ 2011/11293 от 27.12.2011, производитель: Ультрадент Продактс, Инк.</w:t>
      </w:r>
    </w:p>
    <w:p>
      <w:pPr>
        <w:pStyle w:val="Style15"/>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 РУ: ФСЗ 2019/8215 от 15.09.2019, производитель: «СФМ Госпитал Продактс ГмбХ».</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Томского УФАС России приходит к выводу, что данный довод жалобы является необоснованным, в действиях Заказчика не установлено нарушений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в соответствии с частью 4 статьи 106 Закона о контрактной ООО «Медпоставщик» был обязан представить для рассмотрения жалобы по существу информацию и документы, подтверждающие обоснованность доводов своей жалобы. Следовательно, бремя доказывания при рассмотрении настоящей жалобы возлагается именно на ООО «Медпоставщик» как на лицо, подавшее жалобу в отношении Заказчика.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указанных обстоятельств, Комиссия Томского УФАС России считает, что Заявителем в обоснование заявленных требований не представлены доказательства того, что извещение об осуществлении закупки на поставку перчаток хирургических противоречит требованиям законодательства о контрактной системе, равно как и не доказано обстоятельство необоснованного ограничения прав и законных интересов Заявителя со стороны заказчика при проведении аукциона.</w:t>
      </w:r>
    </w:p>
    <w:p>
      <w:pPr>
        <w:pStyle w:val="Style15"/>
        <w:keepNext w:val="0"/>
        <w:keepLines w:val="0"/>
        <w:widowControl w:val="0"/>
        <w:shd w:val="clear" w:color="auto" w:fill="auto"/>
        <w:bidi w:val="0"/>
        <w:spacing w:before="0" w:after="0" w:line="271" w:lineRule="auto"/>
        <w:ind w:left="0" w:right="0" w:firstLine="720"/>
        <w:jc w:val="both"/>
        <w:rPr>
          <w:sz w:val="24"/>
          <w:szCs w:val="24"/>
        </w:rPr>
        <w:sectPr>
          <w:headerReference w:type="default" r:id="rId16"/>
          <w:footerReference w:type="default" r:id="rId17"/>
          <w:footnotePr>
            <w:pos w:val="pageBottom"/>
            <w:numFmt w:val="decimal"/>
            <w:numRestart w:val="continuous"/>
          </w:footnotePr>
          <w:pgSz w:w="11900" w:h="16840"/>
          <w:pgMar w:top="1666" w:right="541" w:bottom="802" w:left="1106" w:header="0" w:footer="37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Комиссией Томского УФАС России установлено, что в период с 11.07.2024 по 17.01.2025 Заявителем подано 39 жалоб на действия заказчиков при осуществлении закупок перчаток хирургических. Установлено, что ООО «Медпоставщик» участником закупок на поставку перчаток хирургических не являлся, что </w:t>
      </w:r>
      <w:r>
        <w:rPr>
          <w:color w:val="000000"/>
          <w:spacing w:val="0"/>
          <w:w w:val="100"/>
          <w:position w:val="0"/>
          <w:sz w:val="24"/>
          <w:szCs w:val="24"/>
          <w:shd w:val="clear" w:color="auto" w:fill="auto"/>
          <w:lang w:val="ru-RU" w:eastAsia="ru-RU" w:bidi="ru-RU"/>
        </w:rPr>
        <w:t>2025-455</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свидетельствует о том, что его права и законные интересы не нарушаются действиями Заказчика.</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Принимая во внимание вышеизложенное, и руководствуясь статьей 14, статьей 42, статьей 49, статьей 99, статьей 105, статьей 106 Закона 44-ФЗ, Комиссия Томского УФАС России,</w:t>
      </w:r>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5"/>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«Медпоставщик» на действия Заказчика — ФГБУ «СибФНКЦ ФМБА России» при осуществлении электронного аукциона: «Поставка товара (Перчатки хирургические» (извещение № 0365100016324000681) необоснованной.</w:t>
      </w:r>
    </w:p>
    <w:p>
      <w:pPr>
        <w:pStyle w:val="Style15"/>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действиях Заказчика нарушений Закона о контрактной системе не установлено.</w:t>
      </w:r>
    </w:p>
    <w:p>
      <w:pPr>
        <w:pStyle w:val="Style15"/>
        <w:keepNext w:val="0"/>
        <w:keepLines w:val="0"/>
        <w:widowControl w:val="0"/>
        <w:numPr>
          <w:ilvl w:val="0"/>
          <w:numId w:val="5"/>
        </w:numPr>
        <w:shd w:val="clear" w:color="auto" w:fill="auto"/>
        <w:tabs>
          <w:tab w:pos="1714"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Предписание не выдавать.</w:t>
      </w:r>
    </w:p>
    <w:p>
      <w:pPr>
        <w:pStyle w:val="Style15"/>
        <w:keepNext w:val="0"/>
        <w:keepLines w:val="0"/>
        <w:widowControl w:val="0"/>
        <w:shd w:val="clear" w:color="auto" w:fill="auto"/>
        <w:bidi w:val="0"/>
        <w:spacing w:before="0" w:after="600" w:line="240" w:lineRule="auto"/>
        <w:ind w:left="0" w:right="0" w:firstLine="720"/>
        <w:jc w:val="both"/>
      </w:pPr>
      <w:r>
        <w:rPr>
          <w:i/>
          <w:iCs/>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в установленном законом порядке.</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1040" w:line="240" w:lineRule="auto"/>
        <w:ind w:left="0" w:right="0" w:firstLine="0"/>
        <w:jc w:val="right"/>
      </w:pPr>
      <w:r>
        <w:rPr>
          <w:color w:val="000000"/>
          <w:spacing w:val="0"/>
          <w:w w:val="100"/>
          <w:position w:val="0"/>
          <w:shd w:val="clear" w:color="auto" w:fill="auto"/>
          <w:lang w:val="ru-RU" w:eastAsia="ru-RU" w:bidi="ru-RU"/>
        </w:rPr>
        <w:t>ИМС</w:t>
      </w:r>
    </w:p>
    <w:p>
      <w:pPr>
        <w:pStyle w:val="Style15"/>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1040" w:line="240" w:lineRule="auto"/>
        <w:ind w:left="0" w:right="0" w:firstLine="0"/>
        <w:jc w:val="right"/>
      </w:pPr>
      <w:r>
        <w:rPr>
          <w:color w:val="000000"/>
          <w:spacing w:val="0"/>
          <w:w w:val="100"/>
          <w:position w:val="0"/>
          <w:shd w:val="clear" w:color="auto" w:fill="auto"/>
          <w:lang w:val="ru-RU" w:eastAsia="ru-RU" w:bidi="ru-RU"/>
        </w:rPr>
        <w:t>АВД</w:t>
      </w:r>
    </w:p>
    <w:p>
      <w:pPr>
        <w:pStyle w:val="Style15"/>
        <w:keepNext w:val="0"/>
        <w:keepLines w:val="0"/>
        <w:widowControl w:val="0"/>
        <w:shd w:val="clear" w:color="auto" w:fill="auto"/>
        <w:bidi w:val="0"/>
        <w:spacing w:before="0" w:after="440" w:line="240" w:lineRule="auto"/>
        <w:ind w:left="0" w:right="0" w:firstLine="0"/>
        <w:jc w:val="right"/>
      </w:pPr>
      <w:r>
        <w:rPr>
          <w:color w:val="000000"/>
          <w:spacing w:val="0"/>
          <w:w w:val="100"/>
          <w:position w:val="0"/>
          <w:shd w:val="clear" w:color="auto" w:fill="auto"/>
          <w:lang w:val="ru-RU" w:eastAsia="ru-RU" w:bidi="ru-RU"/>
        </w:rPr>
        <w:t>ДАМ</w:t>
      </w:r>
    </w:p>
    <w:sectPr>
      <w:headerReference w:type="default" r:id="rId18"/>
      <w:footerReference w:type="default" r:id="rId19"/>
      <w:footnotePr>
        <w:pos w:val="pageBottom"/>
        <w:numFmt w:val="decimal"/>
        <w:numRestart w:val="continuous"/>
      </w:footnotePr>
      <w:pgSz w:w="11900" w:h="16840"/>
      <w:pgMar w:top="1666" w:right="541"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67055" cy="100330"/>
              <wp:wrapNone/>
              <wp:docPr id="2" name="Shape 2"/>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76.20000000000005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10016490</wp:posOffset>
              </wp:positionV>
              <wp:extent cx="567055" cy="100330"/>
              <wp:wrapNone/>
              <wp:docPr id="10" name="Shape 10"/>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wps:txbx>
                    <wps:bodyPr wrap="none" lIns="0" tIns="0" rIns="0" bIns="0">
                      <a:spAutoFit/>
                    </wps:bodyPr>
                  </wps:wsp>
                </a:graphicData>
              </a:graphic>
            </wp:anchor>
          </w:drawing>
        </mc:Choice>
        <mc:Fallback>
          <w:pict>
            <v:shape id="_x0000_s1036" type="#_x0000_t202" style="position:absolute;margin-left:57.pt;margin-top:788.70000000000005pt;width:44.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10016490</wp:posOffset>
              </wp:positionV>
              <wp:extent cx="567055" cy="100330"/>
              <wp:wrapNone/>
              <wp:docPr id="16" name="Shape 16"/>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wps:txbx>
                    <wps:bodyPr wrap="none" lIns="0" tIns="0" rIns="0" bIns="0">
                      <a:spAutoFit/>
                    </wps:bodyPr>
                  </wps:wsp>
                </a:graphicData>
              </a:graphic>
            </wp:anchor>
          </w:drawing>
        </mc:Choice>
        <mc:Fallback>
          <w:pict>
            <v:shape id="_x0000_s1042" type="#_x0000_t202" style="position:absolute;margin-left:57.pt;margin-top:788.70000000000005pt;width:44.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723900</wp:posOffset>
              </wp:positionH>
              <wp:positionV relativeFrom="page">
                <wp:posOffset>10016490</wp:posOffset>
              </wp:positionV>
              <wp:extent cx="567055" cy="100330"/>
              <wp:wrapNone/>
              <wp:docPr id="22" name="Shape 22"/>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wps:txbx>
                    <wps:bodyPr wrap="none" lIns="0" tIns="0" rIns="0" bIns="0">
                      <a:spAutoFit/>
                    </wps:bodyPr>
                  </wps:wsp>
                </a:graphicData>
              </a:graphic>
            </wp:anchor>
          </w:drawing>
        </mc:Choice>
        <mc:Fallback>
          <w:pict>
            <v:shape id="_x0000_s1048" type="#_x0000_t202" style="position:absolute;margin-left:57.pt;margin-top:788.70000000000005pt;width:44.649999999999999pt;height:7.90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3925570</wp:posOffset>
              </wp:positionH>
              <wp:positionV relativeFrom="page">
                <wp:posOffset>759460</wp:posOffset>
              </wp:positionV>
              <wp:extent cx="64135" cy="103505"/>
              <wp:wrapNone/>
              <wp:docPr id="6" name="Shape 6"/>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2" type="#_x0000_t202" style="position:absolute;margin-left:309.10000000000002pt;margin-top:59.800000000000004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3902710</wp:posOffset>
              </wp:positionH>
              <wp:positionV relativeFrom="page">
                <wp:posOffset>759460</wp:posOffset>
              </wp:positionV>
              <wp:extent cx="128270" cy="106680"/>
              <wp:wrapNone/>
              <wp:docPr id="8" name="Shape 8"/>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7.30000000000001pt;margin-top:59.800000000000004pt;width:10.1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3925570</wp:posOffset>
              </wp:positionH>
              <wp:positionV relativeFrom="page">
                <wp:posOffset>759460</wp:posOffset>
              </wp:positionV>
              <wp:extent cx="64135" cy="103505"/>
              <wp:wrapNone/>
              <wp:docPr id="12" name="Shape 1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9.10000000000002pt;margin-top:59.800000000000004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759460</wp:posOffset>
              </wp:positionV>
              <wp:extent cx="128270" cy="106680"/>
              <wp:wrapNone/>
              <wp:docPr id="14" name="Shape 14"/>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7.30000000000001pt;margin-top:59.800000000000004pt;width:10.1pt;height:8.4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3925570</wp:posOffset>
              </wp:positionH>
              <wp:positionV relativeFrom="page">
                <wp:posOffset>759460</wp:posOffset>
              </wp:positionV>
              <wp:extent cx="64135" cy="103505"/>
              <wp:wrapNone/>
              <wp:docPr id="18" name="Shape 18"/>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4" type="#_x0000_t202" style="position:absolute;margin-left:309.10000000000002pt;margin-top:59.800000000000004pt;width:5.04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3902710</wp:posOffset>
              </wp:positionH>
              <wp:positionV relativeFrom="page">
                <wp:posOffset>759460</wp:posOffset>
              </wp:positionV>
              <wp:extent cx="128270" cy="106680"/>
              <wp:wrapNone/>
              <wp:docPr id="20" name="Shape 20"/>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6" type="#_x0000_t202" style="position:absolute;margin-left:307.30000000000001pt;margin-top:59.800000000000004pt;width:10.1pt;height:8.4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25E9F"/>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25E9F"/>
      <w:sz w:val="19"/>
      <w:szCs w:val="19"/>
      <w:u w:val="none"/>
    </w:rPr>
  </w:style>
  <w:style w:type="character" w:customStyle="1" w:styleId="CharStyle11">
    <w:name w:val="Основной текст (5)_"/>
    <w:basedOn w:val="DefaultParagraphFont"/>
    <w:link w:val="Style10"/>
    <w:rPr>
      <w:rFonts w:ascii="Arial" w:eastAsia="Arial" w:hAnsi="Arial" w:cs="Arial"/>
      <w:b/>
      <w:bCs/>
      <w:i w:val="0"/>
      <w:iCs w:val="0"/>
      <w:smallCaps w:val="0"/>
      <w:strike w:val="0"/>
      <w:sz w:val="11"/>
      <w:szCs w:val="11"/>
      <w:u w:val="none"/>
    </w:rPr>
  </w:style>
  <w:style w:type="character" w:customStyle="1" w:styleId="CharStyle14">
    <w:name w:val="Основной текст (4)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8"/>
      <w:szCs w:val="38"/>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60" w:line="286" w:lineRule="auto"/>
      <w:jc w:val="center"/>
    </w:pPr>
    <w:rPr>
      <w:rFonts w:ascii="Times New Roman" w:eastAsia="Times New Roman" w:hAnsi="Times New Roman" w:cs="Times New Roman"/>
      <w:b w:val="0"/>
      <w:bCs w:val="0"/>
      <w:i w:val="0"/>
      <w:iCs w:val="0"/>
      <w:smallCaps w:val="0"/>
      <w:strike w:val="0"/>
      <w:color w:val="425E9F"/>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25E9F"/>
      <w:sz w:val="19"/>
      <w:szCs w:val="19"/>
      <w:u w:val="none"/>
    </w:rPr>
  </w:style>
  <w:style w:type="paragraph" w:customStyle="1" w:styleId="Style10">
    <w:name w:val="Основной текст (5)"/>
    <w:basedOn w:val="Normal"/>
    <w:link w:val="CharStyle11"/>
    <w:pPr>
      <w:widowControl w:val="0"/>
      <w:shd w:val="clear" w:color="auto" w:fill="auto"/>
      <w:spacing w:after="380" w:line="228" w:lineRule="auto"/>
      <w:jc w:val="center"/>
    </w:pPr>
    <w:rPr>
      <w:rFonts w:ascii="Arial" w:eastAsia="Arial" w:hAnsi="Arial" w:cs="Arial"/>
      <w:b/>
      <w:bCs/>
      <w:i w:val="0"/>
      <w:iCs w:val="0"/>
      <w:smallCaps w:val="0"/>
      <w:strike w:val="0"/>
      <w:sz w:val="11"/>
      <w:szCs w:val="11"/>
      <w:u w:val="none"/>
    </w:rPr>
  </w:style>
  <w:style w:type="paragraph" w:customStyle="1" w:styleId="Style13">
    <w:name w:val="Основной текст (4)"/>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1"/>
    <w:basedOn w:val="Normal"/>
    <w:link w:val="CharStyle18"/>
    <w:pPr>
      <w:widowControl w:val="0"/>
      <w:shd w:val="clear" w:color="auto" w:fill="auto"/>
      <w:spacing w:after="160"/>
      <w:outlineLvl w:val="0"/>
    </w:pPr>
    <w:rPr>
      <w:rFonts w:ascii="Arial" w:eastAsia="Arial" w:hAnsi="Arial" w:cs="Arial"/>
      <w:b w:val="0"/>
      <w:bCs w:val="0"/>
      <w:i w:val="0"/>
      <w:iCs w:val="0"/>
      <w:smallCaps w:val="0"/>
      <w:strike w:val="0"/>
      <w:sz w:val="38"/>
      <w:szCs w:val="38"/>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header" Target="header6.xml"/><Relationship Id="rId19" Type="http://schemas.openxmlformats.org/officeDocument/2006/relationships/footer" Target="footer7.xml"/></Relationships>
</file>