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65176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5176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793750</wp:posOffset>
                </wp:positionH>
                <wp:positionV relativeFrom="paragraph">
                  <wp:posOffset>2234565</wp:posOffset>
                </wp:positionV>
                <wp:extent cx="89916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4.01.2025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5pt;margin-top:175.95000000000002pt;width:70.79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4.01.2025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2406015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038/393/25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89.45000000000002pt;margin-top:175.95000000000002pt;width:71.5pt;height:18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038/393/25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631190</wp:posOffset>
                </wp:positionV>
                <wp:extent cx="975360" cy="1524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3.95pt;margin-top:49.700000000000003pt;width:76.799999999999997pt;height:12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786765</wp:posOffset>
                </wp:positionV>
                <wp:extent cx="2048510" cy="152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pt;margin-top:61.950000000000003pt;width:161.30000000000001pt;height:12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1552575</wp:posOffset>
                </wp:positionH>
                <wp:positionV relativeFrom="paragraph">
                  <wp:posOffset>1604010</wp:posOffset>
                </wp:positionV>
                <wp:extent cx="978535" cy="1587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Российская, 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22.25pt;margin-top:126.3pt;width:77.049999999999997pt;height:12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Российская, 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1543685</wp:posOffset>
                </wp:positionH>
                <wp:positionV relativeFrom="paragraph">
                  <wp:posOffset>1743710</wp:posOffset>
                </wp:positionV>
                <wp:extent cx="963295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664025, г.Иркутск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1.55pt;margin-top:137.30000000000001pt;width:75.850000000000009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664025, г.Иркутск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1880870</wp:posOffset>
                </wp:positionV>
                <wp:extent cx="2240280" cy="15875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(3952) 24-32-31, факс (3952) 24-32-26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1.350000000000009pt;margin-top:148.09999999999999pt;width:176.40000000000001pt;height:12.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(3952) 24-32-31, факс (3952) 24-32-26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1424305</wp:posOffset>
                </wp:positionH>
                <wp:positionV relativeFrom="paragraph">
                  <wp:posOffset>2027555</wp:posOffset>
                </wp:positionV>
                <wp:extent cx="123444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е-шап: 1о38@та8.аоу.ги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2.15000000000001pt;margin-top:159.65000000000001pt;width:97.200000000000003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е-шап: 1о38@та8.аоу.ги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paragraph">
                  <wp:posOffset>1057910</wp:posOffset>
                </wp:positionV>
                <wp:extent cx="895985" cy="1435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5 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25.60000000000001pt;margin-top:83.299999999999997pt;width:70.549999999999997pt;height:11.3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5 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1415415</wp:posOffset>
                </wp:positionH>
                <wp:positionV relativeFrom="paragraph">
                  <wp:posOffset>1356995</wp:posOffset>
                </wp:positionV>
                <wp:extent cx="1258570" cy="15557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Иркутской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1.45pt;margin-top:106.85000000000001pt;width:99.100000000000009pt;height:12.2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Иркутской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91895" distB="1938655" distL="321310" distR="31242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1204595</wp:posOffset>
                </wp:positionV>
                <wp:extent cx="2246630" cy="152400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2.549999999999997pt;margin-top:94.850000000000009pt;width:176.90000000000001pt;height:12.pt;z-index:-125829374;mso-wrap-distance-left:25.300000000000001pt;mso-wrap-distance-top:93.850000000000009pt;mso-wrap-distance-right:24.600000000000001pt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 Областное государственное бюджет</w:t>
        <w:softHyphen/>
        <w:t>ное учреждение здравоохранения "Тулунская городская 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665259, Иркутская область, г.Тулун, м-н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Угольщиков, 35 ^VапоVа777181@уапдеx.ш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 ООО "МЕДПОСТАВЩИК " 660111, край Красноярский, г. Красноярск, ул. Пограничников, д. 103г, помещение 2 этаж 2 кабинет 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тедро8120@таП.ш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объявлена 22.01.2025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по контролю соблюдения законодательства о за</w:t>
        <w:softHyphen/>
        <w:t>купках, торгах, порядке заключения договоров, порядке осуществления процедур, вклю</w:t>
        <w:softHyphen/>
        <w:t>ченных в исчерпывающие перечни процедур в сферах строительства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Ларин И.И. - заместитель руководителя - начальник отдела контроля закупок Иркутского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Караульская О.В. - ведущий специалист - эксперт отдела контроля закупок Иркутского УФАС России; Дорожкова И.Э. - ведущий специалист - эксперт отдела контроля закупок Иркутского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отсутствие, надлежащим образом уведомленного о месте и времени рассмотрения жалобы, представителей ООО " МЕДПОСТАВЩИК " (далее - Заявитель); представителей Областное государственное бюджетное учреждение здравоохранения "Тулунская городская больница" (далее - Заказчик);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положения извещения о проведении Электронного аукциона «Поставка перчаток», извещение № 0334300125524000388, в порядке, предусмот</w:t>
        <w:softHyphen/>
        <w:t>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- Федеральный закон №44-ФЗ), и в результате проведения внепла</w:t>
        <w:softHyphen/>
        <w:t>новой проверки в соответствии со статьей 99 Федерального закона № 44-ФЗ,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Иркутское УФАС России 17 января 2025 года поступила жалоба Заявителя на поло</w:t>
        <w:softHyphen/>
        <w:t>жения извещения об осуществлении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 необоснованно объединил в один лот разнородные позиции, включив в описание объекта закупки позиции № 1,2,5 (Перчатки хирургические из полихлорпрена, неопудренные, позиция КТРУ - 22.19.60.111-00000001), позицию № 11 (Перчатки хирургические полиизопреновые, неопудренные, позиция КТРУ - 22.19.60.111</w:t>
        <w:softHyphen/>
        <w:t>00000004).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по мнению подателя жалобы, в реестре российской промышленной продукции отсутствуют товары, соответствующие характеристикам, указанным в описании объекта за</w:t>
        <w:softHyphen/>
        <w:t>купки в графе «Характеристика товара» к указанным позициям описания объекта закупки, что противоречит положениям Постановления Правительства РФ № 617 «Об ограничениях допуска отдельных видов промышленных товаров, происходящих из иностранных госу</w:t>
        <w:softHyphen/>
        <w:t>дарств, для целей осуществления закупок для обеспечения государственных и муниципаль</w:t>
        <w:softHyphen/>
        <w:t>ных нужд» (далее - Постановление № 617). Таким образом, податель жалобы считает, что данная закупка ограничивает конкуренцию, исключая возможность участия в ней россий</w:t>
        <w:softHyphen/>
        <w:t>ских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представлены возражения на жалобу заявителя. Из указанных возражений следует, что заказчик при формировании объекта закупки руководствовался своими потреб</w:t>
        <w:softHyphen/>
        <w:t>ностями, не нарушая положения действующего законодательства. Также заказчик пояснил, что код ОКПД2 закупаемых товаров входит в 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</w:t>
        <w:softHyphen/>
        <w:t>пальных нужд, утвержденный Постановлением № 617 (далее - Перечень).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Комиссией установлено, что 24.12.2024 г. на официаль</w:t>
        <w:softHyphen/>
        <w:t>ном сайте единой информационной системы в сфере закупок \у\у\у./акирк1.доу.ги опублико</w:t>
        <w:softHyphen/>
        <w:t>вано извещение о проведении Электронного аукциона «Поставка перчаток», извещение № 0334300125524000388.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установлена в размере 598 192,50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на участие в электронном аукционе 17.01.2025 09:00 (МСК+5)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</w:t>
        <w:softHyphen/>
        <w:t>нителя) от 17.01.2025 №ИЭА1, на участие в закупке подано 2 заявки, обе заявки признаны соответствующими требованиям извещения. По результатам подведения итогов определе</w:t>
        <w:softHyphen/>
        <w:t>ния поставщика (подрядчика, исполнителя) Победителем аукциона признается участник закупки идентификационный № 118053454, с ценовым предложением 595 201,53 руб. (Снижение НМЦК составило 0,5%)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исследовав материалы дела, доводы заявителя, возражения заказчика при</w:t>
        <w:softHyphen/>
        <w:t>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ст.14 Федерального закона № 44-ФЗ в целях защиты основ конституци</w:t>
        <w:softHyphen/>
        <w:t>онного строя, обеспечения обороны страны и безопасности государства, защиты внутрен</w:t>
        <w:softHyphen/>
        <w:t>него рынка Российской Федерации, развития национальной экономики, поддержки россий</w:t>
        <w:softHyphen/>
        <w:t>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</w:t>
        <w:softHyphen/>
        <w:t>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</w:t>
        <w:softHyphen/>
        <w:t>ную долю закупок российских товаров, в том числе товаров, поставляемых при выполне</w:t>
        <w:softHyphen/>
        <w:t xml:space="preserve">нии закупаемых работ, оказании закупаемых услуг, и перечень таких товаров, для целей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</w:t>
        <w:softHyphen/>
        <w:t>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</w:t>
        <w:softHyphen/>
        <w:t>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</w:t>
        <w:softHyphen/>
        <w:t>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</w:t>
        <w:softHyphen/>
        <w:t>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Федерального закона № 44-ФЗ при осуществлении закупки путем проведения открытых конкурентных способов заказчик формирует с использованием еди</w:t>
        <w:softHyphen/>
        <w:t>ной информационной системы, подписывает усиленной электронной подписью лица, име</w:t>
        <w:softHyphen/>
        <w:t>ющего право действовать от имени заказчика, и размещает в единой информационной си</w:t>
        <w:softHyphen/>
        <w:t>стеме извещение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ч.2 ст.42 Федерального закона № 44-ФЗ извещение об осуще</w:t>
        <w:softHyphen/>
        <w:t>ствлении закупки, если иное не предусмотрено данным Федеральным законом, должно со</w:t>
        <w:softHyphen/>
        <w:t>держать, в том числе, описание объекта закупки в соответствии со статьей 33 данного Фе</w:t>
        <w:softHyphen/>
        <w:t>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Федерального закона № 44-ФЗ ЕИС содержит каталог това</w:t>
        <w:softHyphen/>
        <w:t>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Федерального закона № 44-ФЗ порядок формирования и ведения в ЕИС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</w:t>
        <w:softHyphen/>
        <w:t>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Постановления Правительства РФ от 19 апреля 2021 г. ^ 620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</w:t>
        <w:softHyphen/>
        <w:t>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начальная (максимальная) цена контракта составляет 598 192,50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каталога товаров, работ, услуг для обеспе</w:t>
        <w:softHyphen/>
        <w:t>чения государственных и муниципальных нужд, утвержденных постановлением Прави</w:t>
        <w:softHyphen/>
        <w:t>тельства РФ №145 от 08.02.2017 г. (далее - Правила использования КТРУ), каталог исполь</w:t>
        <w:softHyphen/>
        <w:t>зуется заказчиками в целях описания объектов закупки, которое включается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Правил использования КТРУ 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</w:t>
        <w:softHyphen/>
        <w:t>мацию, включенную в позицию каталога в соответствии с пп. «б» - пп. «г» и пп. «е» - пп. «з» п. 10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 заказчику к поставке необходимы: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из полихлорпрена, неопудренные, позиция КТРУ - 22.19.60.111-00000001 (позиции № 1,2,5);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смотровые/процедурные из латекса гевеи, неопудренные, нестерильные, позиция КТРУ - 22.19.60.119-00000002 (позиция № 3);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из латекса гевеи, неопудренные, позиция КТРУ - 22.19.60.113-00000001 (позиция № 4,7,8,9,12);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смотровые/процедурные нитриловые, неопудренные, нестерильные, пози</w:t>
        <w:softHyphen/>
        <w:t>ция КТРУ - 22.19.60.119-00000008 (позиция № 6,10);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полиизопреновые, неопудренные, позиция КТРУ - 22.19.60.111-00000004 (позиция № 11);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указанные товары включены в Перечень (код ОКПД 2 22.19.6 «Предметы одежды и ее аксессуары из вулканизированной резины, кроме твердой резины (эбонита)»).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установила, что положениями извещения о за</w:t>
        <w:softHyphen/>
        <w:t>купке установлены ограничения допуска товаров иностранного происхождения в соответ</w:t>
        <w:softHyphen/>
        <w:t>ствии Постановлением № 617.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Постановления № 617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</w:t>
        <w:softHyphen/>
        <w:t>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 719 «О подтверждении производства промышленной продукции на территории Россий</w:t>
        <w:softHyphen/>
        <w:t>ской Федерации» (для продукции, в отношении которой установлены требования о сово</w:t>
        <w:softHyphen/>
        <w:t>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евразийского реестра промышлен</w:t>
        <w:softHyphen/>
        <w:t>ных товаров государств - членов Евразийского экономического союза, порядок формирова</w:t>
        <w:softHyphen/>
        <w:t>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</w:t>
        <w:softHyphen/>
        <w:t>стве баллов за выполнение на территории государств - членов Евразийского экономическо</w:t>
        <w:softHyphen/>
        <w:t>го союза технологических операций (условий), если это предусмотрено решением Совета Евразийской экономической комиссии от 23 ноября 2020 г. № 105 «Об утверждении Пра</w:t>
        <w:softHyphen/>
        <w:t>вил определения страны происхождения отдельных видов товаров для целей государствен</w:t>
        <w:softHyphen/>
        <w:t>ных (муниципальных) закупок» (для продукции, в отношении которой установлены требо</w:t>
        <w:softHyphen/>
        <w:t>вания о совокупном количестве баллов).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установила, что заказчиком в описании объекта закупки по позициям № 1,2,5 установлена позиция КТРУ - 22.19.60.111-00000001 «Перчат</w:t>
        <w:softHyphen/>
        <w:t>ки хирургические из полихлорпрена, неопудренные», по позиции №11 установлена пози</w:t>
        <w:softHyphen/>
        <w:t>ция КТРУ - 22.19.60.111-00000004 «Перчатки хирургические полиизопреновые, неопуд-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ренные». Данные позиции КТРУ имеет код ОКПД2 - 22.19.6 «Предметы одежды и ее ак</w:t>
        <w:softHyphen/>
        <w:t>сессуары из вулканизированной резины, кроме твердой резины (эбонита)», который вклю</w:t>
        <w:softHyphen/>
        <w:t>чен в Перечень. Заявление подателя жалобы об объединении разнородных позиций в один лот - несостоятельно, поскольку начальная (максимальная) цена контракта составляет 598 192,50 руб. Довод жалобы не нашел своего подтверждения.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Регламентом ФАС, Комиссия по контролю за соблюдением законодательства о контрактной системе в сфере закупок това</w:t>
        <w:softHyphen/>
        <w:t>ров, работ, услуг для обеспечения государственных и муниципальных нужд,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МЕДПОСТАВЩИК необоснованной;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копии решения сторонам по жалобе;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приостановления определения поставщика в части подписа</w:t>
        <w:softHyphen/>
        <w:t>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Решение, принятое по результатам рассмотрения жалобы на действия (бездействие) заказчи</w:t>
        <w:softHyphen/>
        <w:t>ка, уполномоченного органа, специализированной организации, конкурсной, аукционной или коти</w:t>
        <w:softHyphen/>
        <w:t>ровочной комиссии,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1409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01600" distB="1524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101600</wp:posOffset>
                </wp:positionV>
                <wp:extent cx="1063625" cy="45402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8.pt;width:83.75pt;height:35.75pt;z-index:-125829372;mso-wrap-distance-left:0;mso-wrap-distance-top:8.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9430" simplePos="0" relativeHeight="125829383" behindDoc="0" locked="0" layoutInCell="1" allowOverlap="1">
            <wp:simplePos x="0" y="0"/>
            <wp:positionH relativeFrom="page">
              <wp:posOffset>2503805</wp:posOffset>
            </wp:positionH>
            <wp:positionV relativeFrom="paragraph">
              <wp:posOffset>171450</wp:posOffset>
            </wp:positionV>
            <wp:extent cx="353695" cy="40259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2921635</wp:posOffset>
                </wp:positionH>
                <wp:positionV relativeFrom="paragraph">
                  <wp:posOffset>262890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30.05000000000001pt;margin-top:20.699999999999999pt;width:135.84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6070" distB="14605" distL="0" distR="0" simplePos="0" relativeHeight="125829384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306070</wp:posOffset>
                </wp:positionV>
                <wp:extent cx="89916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5.pt;margin-top:24.100000000000001pt;width:70.799999999999997pt;height:19.699999999999999pt;z-index:-125829369;mso-wrap-distance-left:0;mso-wrap-distance-top:24.100000000000001pt;mso-wrap-distance-right:0;mso-wrap-distance-bottom:1.15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Ларин Иван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765ЕА9ОВ6ЕА23103Е670РЕСАЕЕ21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1С14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16.04.2024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10.07.2025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68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941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295400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950000000000003pt;margin-top:7.pt;width:102.pt;height:19.699999999999999pt;z-index:-125829367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3035" distB="0" distL="0" distR="1789430" simplePos="0" relativeHeight="125829388" behindDoc="0" locked="0" layoutInCell="1" allowOverlap="1">
            <wp:simplePos x="0" y="0"/>
            <wp:positionH relativeFrom="page">
              <wp:posOffset>2491740</wp:posOffset>
            </wp:positionH>
            <wp:positionV relativeFrom="paragraph">
              <wp:posOffset>153035</wp:posOffset>
            </wp:positionV>
            <wp:extent cx="365760" cy="54864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2967355</wp:posOffset>
                </wp:positionH>
                <wp:positionV relativeFrom="paragraph">
                  <wp:posOffset>564515</wp:posOffset>
                </wp:positionV>
                <wp:extent cx="127698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33.65000000000001pt;margin-top:44.450000000000003pt;width:100.55pt;height:7.9000000000000004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2921635</wp:posOffset>
                </wp:positionH>
                <wp:positionV relativeFrom="paragraph">
                  <wp:posOffset>250825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30.05000000000001pt;margin-top:19.75pt;width:135.84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9410" distL="0" distR="0" simplePos="0" relativeHeight="125829389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88900</wp:posOffset>
                </wp:positionV>
                <wp:extent cx="1334770" cy="2501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О.В. Караульская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60.65000000000003pt;margin-top:7.pt;width:105.10000000000001pt;height:19.699999999999999pt;z-index:-125829364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О.В. Караульская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Караульская Олеся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3897Е21644В61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С8В064А868В033Э88Е11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04.12.2024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27.02.2026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paragraph">
                  <wp:posOffset>464185</wp:posOffset>
                </wp:positionV>
                <wp:extent cx="1283335" cy="1035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33.59999999999999pt;margin-top:36.550000000000004pt;width:101.05pt;height:8.1500000000000004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2921000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30.pt;margin-top:12.1pt;width:135.84999999999999pt;height:20.150000000000002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И.Э. Дорожкова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Дорошкова Ирина Эдуардовна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00С985560Е82АВАААВ8913Е627СС85ОСА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Исп.Караульская О.В.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(3952) 24-32-31 вн. 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10095230</wp:posOffset>
              </wp:positionV>
              <wp:extent cx="652145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3.700000000000003pt;margin-top:794.89999999999998pt;width:51.3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spacing w:after="240" w:line="22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100"/>
      <w:ind w:left="35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2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