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774" w:h="1656" w:wrap="none" w:hAnchor="page" w:x="1313" w:y="1506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1B197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4774" w:h="1656" w:wrap="none" w:hAnchor="page" w:x="1313" w:y="1506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1B1972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6"/>
        <w:keepNext w:val="0"/>
        <w:keepLines w:val="0"/>
        <w:framePr w:w="3384" w:h="468" w:wrap="none" w:hAnchor="page" w:x="1990" w:y="346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К. Либкнехта, 2, г. Архангельск, 163000 Тел.: (8182) 20-73-21, </w:t>
      </w:r>
      <w:r>
        <w:rPr>
          <w:color w:val="4948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факс: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(8182) 21-54-45</w:t>
      </w:r>
    </w:p>
    <w:p>
      <w:pPr>
        <w:pStyle w:val="Style6"/>
        <w:keepNext w:val="0"/>
        <w:keepLines w:val="0"/>
        <w:framePr w:w="1814" w:h="227" w:wrap="none" w:hAnchor="page" w:x="2782" w:y="3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е-шаИ: 1о29@Гас.§оу.ги</w:t>
      </w:r>
    </w:p>
    <w:p>
      <w:pPr>
        <w:pStyle w:val="Style9"/>
        <w:keepNext w:val="0"/>
        <w:keepLines w:val="0"/>
        <w:framePr w:w="4738" w:h="277" w:wrap="none" w:hAnchor="page" w:x="1259" w:y="4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Дело № Зоз-25 029/06/42-14/2025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 :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ГБУЗ Архангельской области "Первая городская клиническая больница им. Е.Е. Волосевич"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163001, г. Архангельск, ул. Суворова,!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рокаШоуа.пу@тай.ги, оМхак@1181.ги</w:t>
      </w:r>
    </w:p>
    <w:p>
      <w:pPr>
        <w:pStyle w:val="Style13"/>
        <w:keepNext/>
        <w:keepLines/>
        <w:framePr w:w="4255" w:h="6811" w:wrap="none" w:hAnchor="page" w:x="682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  <w:bookmarkEnd w:id="0"/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 23 А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Е-шай: ко@Н8-1епс1ег.ги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Общество с ограниченной ответственностью «Краснодарская Многопрофильная Компания»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350000, г Краснодар, ул. им. Ленина, дом 65, помещение 37/1</w:t>
      </w:r>
    </w:p>
    <w:p>
      <w:pPr>
        <w:pStyle w:val="Style2"/>
        <w:keepNext w:val="0"/>
        <w:keepLines w:val="0"/>
        <w:framePr w:w="4255" w:h="6811" w:wrap="none" w:hAnchor="page" w:x="6828" w:y="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Е-тай: 1гйб@ктк-тес1.ги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2074545</wp:posOffset>
            </wp:positionH>
            <wp:positionV relativeFrom="margin">
              <wp:posOffset>164465</wp:posOffset>
            </wp:positionV>
            <wp:extent cx="560705" cy="65849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even" r:id="rId8"/>
          <w:head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774" w:right="817" w:bottom="483" w:left="1258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/>
        <w:keepLines/>
        <w:widowControl w:val="0"/>
        <w:shd w:val="clear" w:color="auto" w:fill="auto"/>
        <w:tabs>
          <w:tab w:pos="7895" w:val="left"/>
        </w:tabs>
        <w:bidi w:val="0"/>
        <w:spacing w:before="0" w:after="16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 января 2025 года</w:t>
        <w:tab/>
        <w:t>г. Архангельск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9" w:lineRule="auto"/>
        <w:ind w:left="2260" w:right="0" w:hanging="22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tabs>
          <w:tab w:pos="222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присутствии представителей от: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Заявителя: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Москаева Е.А. (решение от 11.07.2022 №1);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Зобова В.В. (доверенность от 21.01.2025), Покатиловой Н.В. (доверенность от 21.01.2025), Дядюн Е.С. (доверенность от 21.01.2025), Дитятьевой О.П. (доверенность от 28.08.2024).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1775" w:val="left"/>
          <w:tab w:pos="3726" w:val="left"/>
          <w:tab w:pos="4554" w:val="left"/>
          <w:tab w:pos="863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(Ц-игр </w:t>
      </w:r>
      <w:r>
        <w:rPr>
          <w:color w:val="A0A3D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мен г </w:t>
      </w:r>
      <w:r>
        <w:rPr>
          <w:color w:val="777587"/>
          <w:spacing w:val="0"/>
          <w:w w:val="100"/>
          <w:position w:val="0"/>
          <w:shd w:val="clear" w:color="auto" w:fill="auto"/>
          <w:lang w:val="ru-RU" w:eastAsia="ru-RU" w:bidi="ru-RU"/>
        </w:rPr>
        <w:t>ь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-мни) 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г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,</w:t>
        <w:tab/>
        <w:t>.«кег пл. Л.... •• .. д.4, сф.2: ИНН</w:t>
        <w:tab/>
        <w:t>ик. 30. тнр.</w:t>
        <w:tab/>
        <w:t>Ю.ПЛО22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Г)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4*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6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? I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 января 2025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Общества с ограниченной ответственностью «Краснодарская Многопрофильная Компания» (далее - Заявитель) на действия заказчика - ГБУЗ Архангельской области "Первая городская клиническая больница им. Е.Е. Волосевич" (далее - Заказчик), при проведении запроса котировок в электронной форме на право заключения контракта на поставку расходного материала (извещение №0324300031924000451).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Содержание жалобы: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22.01.2025 № б/н.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27.12.2024 Заказчиком на официальном сайте единой информационной системы в сфере закупок в сети Интернет ИИр://2акирк1.доу.ги размещено извещение №0324300031924000451 о проведении запроса котировок в электронной форме на право заключения контракта на поставку расходного материала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Максимальное значение цены контракта - 1 499 980,00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3" w:val="left"/>
          <w:tab w:pos="3582" w:val="left"/>
          <w:tab w:pos="715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указывает, что Заказчик намеренно разделил свою потребность на семь идентичных закупок (извещения №№ 0324300031924000446, 0324300031924000452,</w:t>
        <w:tab/>
        <w:t>0324300031924000450,</w:t>
        <w:tab/>
        <w:t>0324300031924000451,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0324300031924000447, 0324300031924000448, 0324300031924000449) с целью избежать применения Постановления №620 от 19.04.2021.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24 ФЗ «О контрактной системе» заказчики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 самостоятельно принимает решение о выборе способа определения поставщика или об осуществлении закупки у единственного поставщика с учетом положений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конкурентные способы осуществления закупки закреплены в части 2 статьи 24 ФЗ «О контрактной системе». В частности, к ним относятся: конкурсы (открытый конкурс в электронной форме, закрытый конкурс в электронной форме), аукционы (открытый аукцион в электронной форме, закрытый аукцион, закрытый аукцион в электронной форме), запрос котировок в электронной форме.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29 статьи 34 ФЗ «О контрактной системе»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Постановления Правительства РФ от 19.04.2021 № 620 "О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нужд" (далее - Постановление № 620)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4" w:right="909" w:bottom="704" w:left="136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пояснениям Заказчика объем денежных средств, направленных на закупку медицинских изделий в предшествующем году (2023 год)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1.8 части I "Общие положения"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№567 от 02.10.2013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(далее - Методические рекомендации) при определении НМЦК рекомендуется исходить из необходимости достижения заданных целей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Иных требований по формированию НМЦК и выбору способа определения поставщика (подрядчика, исполнителя) нормы ФЗ «О контрактной системе» не содержат.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разделил свою потребность в расходных материалах на несколько закупок с целью обеспечения своевременных и бесперебойных поставок расходных материалов.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при выборе способа определения поставщика и определении НМЦК Заказчик руководствовался нормами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указывает, что Заказчик неправомерно применил ОКПД2 32.50.13.190 и НКМИ 318950 к позиции «Устройство для наложения внутренних швов», так как НКМИ 318950 относится к ОКПД2 32.50.50.190, по которому подлежит применению Постановление №3500-р от 08.12.2021.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положений пункта 5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ФЗ «О контрактной системе»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7 Правил использования КТРУ, утвержденных Постановлением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определено,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ФЗ «О контрактной системе» и в качестве кода каталога товара, работы, услуги, на которые в каталоге отсутствует соответствующая позиция, указывается код такого товара, работы,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9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54м 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настоящей жалобы установлено, что Заказчиком закупаются расходные материалы, используемые при проведении хирургических операций.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в КТРУ отсутствует позиция «Устройство для наложения внутренних швов».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Заказчиком в позиции «Устройство для наложения внутренних швов» указан код ОКПД2 32.50.13.190 "Инструменты и приспособления, применяемые в медицинских целях, прочие, не включенные в другие группировки".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Заказчик установил ОКПД2 32.50.13.190 в соответствии с регистрационным удостоверением (ФСЗ 2008/02324 от 28.01.2020) на аналогичное медицинское изделие, которое уже приобреталось и использовалось Заказчиком.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заказчики вправе выбрать тот код ОКПД2, который соответствует его потребностям. В ФЗ «О контрактной системе» и ином законодательстве не содержится положений, ограничивающих возможность Заказчика в самостоятельном определении кода ОКПД2 проводимых закупок. Определение кода ОКПД2 осуществляется заказчиком путем отнесения объекта закупки к соответствующему коду ОКПД2 с учетом специфики закупки. При этом,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материалы дела, Комиссия Архангельского УФАС России приходит к выводу, что код ОКПД2 Заказчиком определен правомерно и при этом не нарушены положения ФЗ «О контрактной системе».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Общества с ограниченной ответственностью «Краснодарская Многопрофильная Компания»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drawing>
          <wp:anchor distT="0" distB="0" distL="0" distR="962660" simplePos="0" relativeHeight="125829378" behindDoc="0" locked="0" layoutInCell="1" allowOverlap="1">
            <wp:simplePos x="0" y="0"/>
            <wp:positionH relativeFrom="page">
              <wp:posOffset>4333240</wp:posOffset>
            </wp:positionH>
            <wp:positionV relativeFrom="paragraph">
              <wp:posOffset>355600</wp:posOffset>
            </wp:positionV>
            <wp:extent cx="1645920" cy="1273810"/>
            <wp:wrapTight wrapText="left">
              <wp:wrapPolygon>
                <wp:start x="11580" y="0"/>
                <wp:lineTo x="15900" y="0"/>
                <wp:lineTo x="15900" y="4701"/>
                <wp:lineTo x="18540" y="4701"/>
                <wp:lineTo x="18540" y="18026"/>
                <wp:lineTo x="21600" y="18026"/>
                <wp:lineTo x="21600" y="21600"/>
                <wp:lineTo x="0" y="21600"/>
                <wp:lineTo x="0" y="4701"/>
                <wp:lineTo x="10920" y="4701"/>
                <wp:lineTo x="10920" y="3030"/>
                <wp:lineTo x="11580" y="3030"/>
                <wp:lineTo x="11580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645920" cy="12738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5725160</wp:posOffset>
                </wp:positionH>
                <wp:positionV relativeFrom="paragraph">
                  <wp:posOffset>897255</wp:posOffset>
                </wp:positionV>
                <wp:extent cx="1216025" cy="18732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B1972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&gt;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0.80000000000001pt;margin-top:70.650000000000006pt;width:95.75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B1972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&gt;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мо^сет быть обжаловано в судебном порядке в течение трех месяцев со дня'его принятия.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  <w:bookmarkEnd w:id="16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347345" distL="114300" distR="114300" simplePos="0" relativeHeight="125829379" behindDoc="0" locked="0" layoutInCell="1" allowOverlap="1">
                <wp:simplePos x="0" y="0"/>
                <wp:positionH relativeFrom="page">
                  <wp:posOffset>5770880</wp:posOffset>
                </wp:positionH>
                <wp:positionV relativeFrom="paragraph">
                  <wp:posOffset>12700</wp:posOffset>
                </wp:positionV>
                <wp:extent cx="1174750" cy="18986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4750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Ю.А. Поддубная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4.40000000000003pt;margin-top:1.pt;width:92.5pt;height:14.950000000000001pt;z-index:-125829374;mso-wrap-distance-left:9.pt;mso-wrap-distance-right:9.pt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Ю.А. Поддубная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49885" distB="0" distL="427355" distR="116205" simplePos="0" relativeHeight="125829381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362585</wp:posOffset>
                </wp:positionV>
                <wp:extent cx="859790" cy="18732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О.Е. Титова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9.05000000000001pt;margin-top:28.550000000000001pt;width:67.700000000000003pt;height:14.75pt;z-index:-125829372;mso-wrap-distance-left:33.649999999999999pt;mso-wrap-distance-top:27.550000000000001pt;mso-wrap-distance-right:9.15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О.Е. Титова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sectPr>
      <w:headerReference w:type="default" r:id="rId12"/>
      <w:headerReference w:type="even" r:id="rId13"/>
      <w:footnotePr>
        <w:pos w:val="pageBottom"/>
        <w:numFmt w:val="decimal"/>
        <w:numRestart w:val="continuous"/>
      </w:footnotePr>
      <w:type w:val="continuous"/>
      <w:pgSz w:w="11900" w:h="16840"/>
      <w:pgMar w:top="684" w:right="909" w:bottom="704" w:left="136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6703695</wp:posOffset>
              </wp:positionH>
              <wp:positionV relativeFrom="page">
                <wp:posOffset>281305</wp:posOffset>
              </wp:positionV>
              <wp:extent cx="219710" cy="11430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971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три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27.85000000000002pt;margin-top:22.150000000000002pt;width:17.300000000000001pt;height:9.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три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438150</wp:posOffset>
              </wp:positionV>
              <wp:extent cx="606679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6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pt;margin-top:34.5pt;width:47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6703695</wp:posOffset>
              </wp:positionH>
              <wp:positionV relativeFrom="page">
                <wp:posOffset>281305</wp:posOffset>
              </wp:positionV>
              <wp:extent cx="219710" cy="11430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971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три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27.85000000000002pt;margin-top:22.150000000000002pt;width:17.300000000000001pt;height:9.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три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438150</wp:posOffset>
              </wp:positionV>
              <wp:extent cx="606679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6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pt;margin-top:34.5pt;width:47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890270</wp:posOffset>
              </wp:positionH>
              <wp:positionV relativeFrom="page">
                <wp:posOffset>227330</wp:posOffset>
              </wp:positionV>
              <wp:extent cx="6053455" cy="14414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3455" cy="144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3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цз/4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70.100000000000009pt;margin-top:17.900000000000002pt;width:476.65000000000003pt;height:11.35pt;z-index:-1887440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3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u w:val="single"/>
                        <w:shd w:val="clear" w:color="auto" w:fill="auto"/>
                        <w:lang w:val="ru-RU" w:eastAsia="ru-RU" w:bidi="ru-RU"/>
                      </w:rPr>
                      <w:t>цз/4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890270</wp:posOffset>
              </wp:positionH>
              <wp:positionV relativeFrom="page">
                <wp:posOffset>360680</wp:posOffset>
              </wp:positionV>
              <wp:extent cx="6071870" cy="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18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100000000000009pt;margin-top:28.400000000000002pt;width:478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A44"/>
      <w:sz w:val="17"/>
      <w:szCs w:val="17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A44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Основной текст (3)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4863"/>
      <w:sz w:val="9"/>
      <w:szCs w:val="9"/>
      <w:u w:val="none"/>
    </w:rPr>
  </w:style>
  <w:style w:type="character" w:customStyle="1" w:styleId="CharStyle27">
    <w:name w:val="Колонтитул (2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A44"/>
      <w:sz w:val="17"/>
      <w:szCs w:val="17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A44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8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4863"/>
      <w:sz w:val="9"/>
      <w:szCs w:val="9"/>
      <w:u w:val="none"/>
    </w:rPr>
  </w:style>
  <w:style w:type="paragraph" w:customStyle="1" w:styleId="Style26">
    <w:name w:val="Колонтитул (2)"/>
    <w:basedOn w:val="Normal"/>
    <w:link w:val="CharStyle2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image" Target="media/image2.png"/><Relationship Id="rId11" Type="http://schemas.openxmlformats.org/officeDocument/2006/relationships/image" Target="media/image2.png" TargetMode="External"/><Relationship Id="rId12" Type="http://schemas.openxmlformats.org/officeDocument/2006/relationships/header" Target="header4.xml"/><Relationship Id="rId13" Type="http://schemas.openxmlformats.org/officeDocument/2006/relationships/header" Target="header5.xml"/></Relationships>
</file>