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80" w:right="0" w:firstLine="0"/>
        <w:jc w:val="left"/>
      </w:pPr>
      <w:r>
        <w:drawing>
          <wp:anchor distT="0" distB="2451100" distL="1387475" distR="1372235" simplePos="0" relativeHeight="125829378" behindDoc="0" locked="0" layoutInCell="1" allowOverlap="1">
            <wp:simplePos x="0" y="0"/>
            <wp:positionH relativeFrom="page">
              <wp:posOffset>2029460</wp:posOffset>
            </wp:positionH>
            <wp:positionV relativeFrom="paragraph">
              <wp:posOffset>177800</wp:posOffset>
            </wp:positionV>
            <wp:extent cx="560705" cy="65849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60705" cy="65849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88670" distB="1273810" distL="148590" distR="135255" simplePos="0" relativeHeight="125829379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966470</wp:posOffset>
                </wp:positionV>
                <wp:extent cx="3033395" cy="104902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33395" cy="1049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19186F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2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19186F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Архангельской области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25pt;margin-top:76.100000000000009pt;width:238.84999999999999pt;height:82.600000000000009pt;z-index:-125829374;mso-wrap-distance-left:11.700000000000001pt;mso-wrap-distance-top:62.100000000000001pt;mso-wrap-distance-right:10.65pt;mso-wrap-distance-bottom:100.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color w:val="19186F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2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color w:val="19186F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Архангельской области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drawing>
          <wp:anchor distT="2464435" distB="194945" distL="132715" distR="114300" simplePos="0" relativeHeight="125829381" behindDoc="0" locked="0" layoutInCell="1" allowOverlap="1">
            <wp:simplePos x="0" y="0"/>
            <wp:positionH relativeFrom="page">
              <wp:posOffset>774700</wp:posOffset>
            </wp:positionH>
            <wp:positionV relativeFrom="paragraph">
              <wp:posOffset>2642235</wp:posOffset>
            </wp:positionV>
            <wp:extent cx="3072130" cy="45085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07213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1220470</wp:posOffset>
                </wp:positionH>
                <wp:positionV relativeFrom="paragraph">
                  <wp:posOffset>2205355</wp:posOffset>
                </wp:positionV>
                <wp:extent cx="2151380" cy="43434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51380" cy="4343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ул. К. Либкнехта, 2, г. Архангельск, 163000 Тел.: (8182) 20-73-21, ф (8182) 21-54-45 е-таП: 1о29@Еа5.§оу.ги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96.100000000000009pt;margin-top:173.65000000000001pt;width:169.40000000000001pt;height:34.200000000000003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ул. К. Либкнехта, 2, г. Архангельск, 163000 Тел.: (8182) 20-73-21, ф (8182) 21-54-45 е-таП: 1о29@Еа5.§оу.ги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756285</wp:posOffset>
                </wp:positionH>
                <wp:positionV relativeFrom="paragraph">
                  <wp:posOffset>3110865</wp:posOffset>
                </wp:positionV>
                <wp:extent cx="1611630" cy="17843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1630" cy="1784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На №от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9.550000000000004pt;margin-top:244.95000000000002pt;width:126.90000000000001pt;height:14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На №от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Дело № 4оз-25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500" w:right="0" w:firstLine="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029/06/42-15/2025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ГБУЗ Архангельской области "Первая городская клиническая больница им. Е.Е. Волосевич"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163001, г. Архангельск, ул. Суворова,!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00" w:right="0" w:firstLine="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Е-шай: рокаб1оуа.пу@тай.ги, оМхакбтЩзкги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50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Оператор электронной площадки: </w:t>
      </w:r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ООО «РТС-тендер»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0" w:right="0" w:firstLine="6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Шевченко, д. 23А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Е-тай: ко@г!8-1епс1ег.ги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8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Общество с ограниченной ответственностью «Краснодарская Многопрофильная Компания»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3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350000, г Краснодар, ул. им. Ленина, дом 65, помещение 37/1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538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Е-шай: шГо@ктк-тес1.ги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15"/>
        <w:keepNext/>
        <w:keepLines/>
        <w:widowControl w:val="0"/>
        <w:shd w:val="clear" w:color="auto" w:fill="auto"/>
        <w:tabs>
          <w:tab w:pos="7898" w:val="left"/>
        </w:tabs>
        <w:bidi w:val="0"/>
        <w:spacing w:before="0" w:after="16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23 января 2025 года</w:t>
        <w:tab/>
        <w:t>г. Архангельск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Письмом ФАС России от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50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59" w:lineRule="auto"/>
        <w:ind w:left="2240" w:right="0" w:hanging="22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tabs>
          <w:tab w:pos="2221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Титова О.Е.</w:t>
        <w:tab/>
        <w:t>Заместитель начальника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Поддубная Ю.А.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присутствии представителей от: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Москаева Е.А. (решение от 11.07.2022 №1);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Зобова В.В. (доверенность от 21.01.2025), Покатиловой Н.В. (доверенность от 21.01.2025), Дядюн Е.С. (доверенность от 21.01.2025), Дитятьевой О.П. (доверенность от 28.08.2024).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УСТАНОВИЛА: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16 января 2025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Общества с ограниченной ответственностью «Краснодарская Многопрофильная Компания» (далее - Заявитель) на действия заказчика - ГБУЗ Архангельской области "Первая городская клиническая больница им. Е.Е. Волосевич" (далее - Заказчик), при проведении запроса котировок в электронной форме на право заключения контракта на поставку расходного материала (извещение №0324300031924000450).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Содержание жалобы: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22.01.2025 № б/н.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27.12.2024 Заказчиком на официальном сайте единой информационной системы в сфере закупок в сети Интернет Епр://хакирк1.доу.ги размещено извещение №0324300031924000450 о проведении запроса котировок в электронной форме на право заключения контракта на поставку расходного материала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Максимальное значение цены контракта - 1 499 981,00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57" w:val="left"/>
          <w:tab w:pos="3582" w:val="left"/>
          <w:tab w:pos="7153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намеренно разделил свою потребность на семь идентичных закупок (извещения №№ 0324300031924000446, 0324300031924000452,</w:t>
        <w:tab/>
        <w:t>0324300031924000450,</w:t>
        <w:tab/>
        <w:t>0324300031924000451,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0324300031924000447, 0324300031924000448, 0324300031924000449) с целью избежать применения Постановления №620 от 19.04.2021.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24 ФЗ «О контрактной системе» заказчики при осуществлении закупок применяют конкурентные способы определения поставщиков (подрядчиков, исполнителей) или осуществляют закупки у единственного поставщика (подрядчика, исполнителя).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заказчик самостоятельно принимает решение о выборе способа определения поставщика или об осуществлении закупки у единственного поставщика с учетом положений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свою очередь, конкурентные способы осуществления закупки закреплены в части 2 статьи 24 ФЗ «О контрактной системе». В частности, к ним относятся: конкурсы (открытый конкурс в электронной форме, закрытый конкурс в электронной форме), аукционы (открытый аукцион в электронной форме, закрытый аукцион, закрытый аукцион в электронной форме), запрос котировок в электронной форме.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части 29 статьи 34 ФЗ «О контрактной системе» Правительство Российской Федерации вправе определить требования к формированию лотов при осуществлении закупок отдельных видов товаров, работ, услуг.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Постановления Правительства РФ от 19.04.2021 № 620 "О требовании к формированию лотов при осуществлении закупок медицинских изделий, являющихся объектом закупки для обеспечения государственных и муниципальных нужд" (далее - Постановление № 620) установлено, что при осуществлении закупок медицинских изделий не могут быть предметом одного контракта (одного лота) медицинские изделия различных видов в соответствии с номенклатурной классификацией медицинских изделий по видам, утвержденной Министерством здравоохранения Российской Федерации, при условии, что значение начальной (максимальной) цены контракта (цены лота) превышает: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  <w:sectPr>
          <w:headerReference w:type="default" r:id="rId9"/>
          <w:headerReference w:type="even" r:id="rId10"/>
          <w:headerReference w:type="first" r:id="rId11"/>
          <w:footnotePr>
            <w:pos w:val="pageBottom"/>
            <w:numFmt w:val="decimal"/>
            <w:numRestart w:val="continuous"/>
          </w:footnotePr>
          <w:pgSz w:w="11900" w:h="16840"/>
          <w:pgMar w:top="786" w:right="910" w:bottom="592" w:left="135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600 тыс. рублей - для заказчиков, у которых объем денежных средств, направленных на закупку медицинских изделий в предшествующем году, составил менее 50 млн. рублей;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млн, рублей - для заказчиков, у которых объем денежных средств, направленных на закупку медицинских изделий в предшествующем году, составил от 50 млн. рублей до 100 млн, рублей;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,5 млн. рублей - для заказчиков, у которых объем денежных средств, направленных на закупку медицинских изделий в предшествующем году,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пояснениям Заказчика объем денежных средств, направленных на закупку медицинских изделий в предшествующем году (2023 год) составил более 100 млн.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1.8 части I "Общие положения"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№567 от 02.10.2013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 (далее - Методические рекомендации) при определении НМЦК рекомендуется исходить из необходимости достижения заданных целей обеспечения государственных и муниципальных нужд.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Иных требований по формированию НМЦК и выбору способа определения поставщика (подрядчика, исполнителя) нормы ФЗ «О контрактной системе» не содержат.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разделил свою потребность в расходных материалах на несколько закупок с целью обеспечения своевременных и бесперебойных поставок расходных материалов.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Следовательно, при выборе способа определения поставщика и определении НМЦК Заказчик руководствовался нормами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85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Заявитель в своей жалобе указывает, что Заказчик неправомерно применил ОКПД2 32.50.13.190 и НКМИ 318950 к позиции «Устройство для наложения внутренних твое», так как НКМИ 318950 относится к ОКПД2 32.50.50.190, по которому подлежит применению Постановление №3500-р от 08.12.2021.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положений пункта 5 части 1 статьи 42 ФЗ «О контрактной системе»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информацию (при наличии), предусмотренную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6 статьи 23 ФЗ «О контрактной системе»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7 Правил использования КТРУ, утвержденных Постановлением Правительства РФ от 08.02.2017 №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 определено,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ФЗ «О контрактной системе» и в качестве кода каталога товара, работы, услуги, на которые в каталоге отсутствует соответствующая позиция, указывается код такого товара, работы,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рассмотрения настоящей жалобы установлено, что Заказчиком закупаются расходные материалы, используемые при проведении хирургических операций.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в КТРУ отсутствует позиция «Устройство для наложения внутренних швов».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Заказчиком в позиции «Устройство для наложения внутренних швов» указан код ОКПД2 32.50.13.190 "Инструменты и приспособления, применяемые в медицинских целях, прочие, не включенные в другие группировки".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заседании Комиссии Архангельского УФАС России представитель Заказчика пояснил, что Заказчик установил ОКПД2 32.50.13.190 в соответствии с регистрационным удостоверением (ФСЗ 2008/02324 от 28.01.2020) на аналогичное медицинское изделие, которое уже приобреталось и использовалось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заказчики вправе выбрать тот код ОКПД2, который соответствует его потребностям. В ФЗ «О контрактной системе» и ином законодательстве не содержится положений, ограничивающих возможность Заказчика в самостоятельном определении кода ОКПД2 проводимых закупок. Определение кода ОКПД2 осуществляется заказчиком путем отнесения объекта закупки к соответствующему коду ОКПД2 с учетом специфики закупки. При этом, заказчики самостоятельно определяют код ОКПД2 как наиболее подходящий объекту закупки, исходя из собственных потребностей и особенностей закупаемого товара.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приходит к выводу, что код ОКПД2 Заказчиком определен правомерно и при этом не нарушены положения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>РЕШИЛА: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1. Признать жалобу Общества с ограниченной ответственностью «Краснодарская Многопрофильная Компания»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mc:AlternateContent>
          <mc:Choice Requires="wps">
            <w:drawing>
              <wp:anchor distT="279400" distB="0" distL="114300" distR="114300" simplePos="0" relativeHeight="125829382" behindDoc="0" locked="0" layoutInCell="1" allowOverlap="1">
                <wp:simplePos x="0" y="0"/>
                <wp:positionH relativeFrom="page">
                  <wp:posOffset>880110</wp:posOffset>
                </wp:positionH>
                <wp:positionV relativeFrom="margin">
                  <wp:posOffset>6668770</wp:posOffset>
                </wp:positionV>
                <wp:extent cx="6046470" cy="18986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46470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Примечание.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Согласно части 9 статьи 106 ФЗ «О контрактной системе» решение,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69.299999999999997pt;margin-top:525.10000000000002pt;width:476.10000000000002pt;height:14.950000000000001pt;z-index:-125829371;mso-wrap-distance-left:9.pt;mso-wrap-distance-top:22.pt;mso-wrap-distance-right:9.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u w:val="single"/>
                          <w:shd w:val="clear" w:color="auto" w:fill="auto"/>
                          <w:lang w:val="ru-RU" w:eastAsia="ru-RU" w:bidi="ru-RU"/>
                        </w:rPr>
                        <w:t>Примечание.</w:t>
                      </w:r>
                      <w:r>
                        <w:rPr>
                          <w:b/>
                          <w:bCs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Согласно части 9 статьи 106 ФЗ «О контрактной системе» решение,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0" distB="0" distL="0" distR="660400" simplePos="0" relativeHeight="125829384" behindDoc="0" locked="0" layoutInCell="1" allowOverlap="1">
            <wp:simplePos x="0" y="0"/>
            <wp:positionH relativeFrom="page">
              <wp:posOffset>3853815</wp:posOffset>
            </wp:positionH>
            <wp:positionV relativeFrom="margin">
              <wp:posOffset>7045960</wp:posOffset>
            </wp:positionV>
            <wp:extent cx="2419985" cy="1237615"/>
            <wp:wrapTight wrapText="left">
              <wp:wrapPolygon>
                <wp:start x="7350" y="0"/>
                <wp:lineTo x="21600" y="0"/>
                <wp:lineTo x="21600" y="5560"/>
                <wp:lineTo x="20395" y="5560"/>
                <wp:lineTo x="20395" y="15600"/>
                <wp:lineTo x="18762" y="15600"/>
                <wp:lineTo x="18762" y="21600"/>
                <wp:lineTo x="0" y="21600"/>
                <wp:lineTo x="0" y="3040"/>
                <wp:lineTo x="7350" y="3040"/>
                <wp:lineTo x="7350" y="0"/>
              </wp:wrapPolygon>
            </wp:wrapTight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2419985" cy="12376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6119495</wp:posOffset>
                </wp:positionH>
                <wp:positionV relativeFrom="margin">
                  <wp:posOffset>7551420</wp:posOffset>
                </wp:positionV>
                <wp:extent cx="814070" cy="18732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Малышева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85000000000002pt;margin-top:594.60000000000002pt;width:64.099999999999994pt;height:14.7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Малышева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704215" distL="116840" distR="4480560" simplePos="0" relativeHeight="125829385" behindDoc="0" locked="0" layoutInCell="1" allowOverlap="1">
                <wp:simplePos x="0" y="0"/>
                <wp:positionH relativeFrom="page">
                  <wp:posOffset>884555</wp:posOffset>
                </wp:positionH>
                <wp:positionV relativeFrom="margin">
                  <wp:posOffset>7544435</wp:posOffset>
                </wp:positionV>
                <wp:extent cx="1684655" cy="189865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4655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69.650000000000006pt;margin-top:594.05000000000007pt;width:132.65000000000001pt;height:14.950000000000001pt;z-index:-125829368;mso-wrap-distance-left:9.2000000000000011pt;mso-wrap-distance-right:352.80000000000001pt;mso-wrap-distance-bottom:55.45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49885" distB="356870" distL="114300" distR="4947285" simplePos="0" relativeHeight="125829387" behindDoc="0" locked="0" layoutInCell="1" allowOverlap="1">
                <wp:simplePos x="0" y="0"/>
                <wp:positionH relativeFrom="page">
                  <wp:posOffset>882015</wp:posOffset>
                </wp:positionH>
                <wp:positionV relativeFrom="margin">
                  <wp:posOffset>7894320</wp:posOffset>
                </wp:positionV>
                <wp:extent cx="1220470" cy="18732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047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69.450000000000003pt;margin-top:621.60000000000002pt;width:96.100000000000009pt;height:14.75pt;z-index:-125829366;mso-wrap-distance-left:9.pt;mso-wrap-distance-top:27.550000000000001pt;mso-wrap-distance-right:389.55000000000001pt;mso-wrap-distance-bottom:28.10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354330" distB="349885" distL="5166360" distR="114300" simplePos="0" relativeHeight="125829389" behindDoc="0" locked="0" layoutInCell="1" allowOverlap="1">
                <wp:simplePos x="0" y="0"/>
                <wp:positionH relativeFrom="page">
                  <wp:posOffset>5934075</wp:posOffset>
                </wp:positionH>
                <wp:positionV relativeFrom="margin">
                  <wp:posOffset>7898765</wp:posOffset>
                </wp:positionV>
                <wp:extent cx="1001395" cy="18986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01395" cy="18986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.А. Поддубная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67.25pt;margin-top:621.95000000000005pt;width:78.850000000000009pt;height:14.950000000000001pt;z-index:-125829364;mso-wrap-distance-left:406.80000000000001pt;mso-wrap-distance-top:27.900000000000002pt;mso-wrap-distance-right:9.pt;mso-wrap-distance-bottom:27.550000000000001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.А. Поддубная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706120" distB="635" distL="5310505" distR="116840" simplePos="0" relativeHeight="125829391" behindDoc="0" locked="0" layoutInCell="1" allowOverlap="1">
                <wp:simplePos x="0" y="0"/>
                <wp:positionH relativeFrom="page">
                  <wp:posOffset>6078220</wp:posOffset>
                </wp:positionH>
                <wp:positionV relativeFrom="margin">
                  <wp:posOffset>8250555</wp:posOffset>
                </wp:positionV>
                <wp:extent cx="854710" cy="187325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471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О.Е. Титова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78.60000000000002pt;margin-top:649.64999999999998pt;width:67.299999999999997pt;height:14.75pt;z-index:-125829362;mso-wrap-distance-left:418.15000000000003pt;mso-wrap-distance-top:55.600000000000001pt;mso-wrap-distance-right:9.2000000000000011pt;mso-wrap-distance-bottom:5.0000000000000003e-002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О.Е. Титова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принятое по результатам рассмотрения жалобы по сущес-гп^у, может быту обжаловано в судебном порядке в течение трех месяг^ев со дня его при</w:t>
      </w:r>
    </w:p>
    <w:sectPr>
      <w:headerReference w:type="default" r:id="rId14"/>
      <w:headerReference w:type="even" r:id="rId15"/>
      <w:footnotePr>
        <w:pos w:val="pageBottom"/>
        <w:numFmt w:val="decimal"/>
        <w:numRestart w:val="continuous"/>
      </w:footnotePr>
      <w:type w:val="continuous"/>
      <w:pgSz w:w="11900" w:h="16840"/>
      <w:pgMar w:top="786" w:right="910" w:bottom="592" w:left="135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6695440</wp:posOffset>
              </wp:positionH>
              <wp:positionV relativeFrom="page">
                <wp:posOffset>346075</wp:posOffset>
              </wp:positionV>
              <wp:extent cx="226060" cy="11176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6060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©2/4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27.20000000000005pt;margin-top:27.25pt;width:17.800000000000001pt;height:8.8000000000000007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©2/4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877570</wp:posOffset>
              </wp:positionH>
              <wp:positionV relativeFrom="page">
                <wp:posOffset>492760</wp:posOffset>
              </wp:positionV>
              <wp:extent cx="6064885" cy="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48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100000000000009pt;margin-top:38.800000000000004pt;width:477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6695440</wp:posOffset>
              </wp:positionH>
              <wp:positionV relativeFrom="page">
                <wp:posOffset>346075</wp:posOffset>
              </wp:positionV>
              <wp:extent cx="226060" cy="11176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6060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©2/4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27.20000000000005pt;margin-top:27.25pt;width:17.800000000000001pt;height:8.800000000000000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©2/4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877570</wp:posOffset>
              </wp:positionH>
              <wp:positionV relativeFrom="page">
                <wp:posOffset>492760</wp:posOffset>
              </wp:positionV>
              <wp:extent cx="6064885" cy="0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6488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100000000000009pt;margin-top:38.800000000000004pt;width:477.55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6719570</wp:posOffset>
              </wp:positionH>
              <wp:positionV relativeFrom="page">
                <wp:posOffset>325755</wp:posOffset>
              </wp:positionV>
              <wp:extent cx="224155" cy="10985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дз/4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529.10000000000002pt;margin-top:25.650000000000002pt;width:17.650000000000002pt;height:8.6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дз/4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890270</wp:posOffset>
              </wp:positionH>
              <wp:positionV relativeFrom="page">
                <wp:posOffset>462915</wp:posOffset>
              </wp:positionV>
              <wp:extent cx="6071870" cy="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18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70.100000000000009pt;margin-top:36.450000000000003pt;width:478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4306570</wp:posOffset>
              </wp:positionH>
              <wp:positionV relativeFrom="page">
                <wp:posOffset>287020</wp:posOffset>
              </wp:positionV>
              <wp:extent cx="2614930" cy="14859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614930" cy="1485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411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^4/4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339.10000000000002pt;margin-top:22.600000000000001pt;width:205.90000000000001pt;height:11.700000000000001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411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u w:val="single"/>
                        <w:shd w:val="clear" w:color="auto" w:fill="auto"/>
                        <w:lang w:val="ru-RU" w:eastAsia="ru-RU" w:bidi="ru-RU"/>
                      </w:rPr>
                      <w:t>^4/4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886460</wp:posOffset>
              </wp:positionH>
              <wp:positionV relativeFrom="page">
                <wp:posOffset>440055</wp:posOffset>
              </wp:positionV>
              <wp:extent cx="6055360" cy="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553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799999999999997pt;margin-top:34.649999999999999pt;width:476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Подпись к картинке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5133B"/>
      <w:sz w:val="17"/>
      <w:szCs w:val="17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Подпись к картинке"/>
    <w:basedOn w:val="Normal"/>
    <w:link w:val="CharStyle7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5133B"/>
      <w:sz w:val="17"/>
      <w:szCs w:val="17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6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singl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image" Target="media/image3.png"/><Relationship Id="rId13" Type="http://schemas.openxmlformats.org/officeDocument/2006/relationships/image" Target="media/image3.png" TargetMode="External"/><Relationship Id="rId14" Type="http://schemas.openxmlformats.org/officeDocument/2006/relationships/header" Target="header4.xml"/><Relationship Id="rId15" Type="http://schemas.openxmlformats.org/officeDocument/2006/relationships/header" Target="header5.xml"/></Relationships>
</file>