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9"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Муниципальному заказчику</w:t>
      </w:r>
    </w:p>
    <w:p>
      <w:pPr>
        <w:pStyle w:val="Style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Администрации Мурыгинского сельского поселения Починковского района Смоленской области</w:t>
      </w:r>
    </w:p>
    <w:p>
      <w:pPr>
        <w:pStyle w:val="Style9"/>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604" w:left="1297" w:right="1398" w:bottom="618" w:header="0" w:footer="3" w:gutter="0"/>
          <w:rtlGutter w:val="0"/>
          <w:cols w:num="2" w:space="720" w:equalWidth="0">
            <w:col w:w="3226" w:space="1320"/>
            <w:col w:w="4666"/>
          </w:cols>
          <w:noEndnote/>
          <w:docGrid w:linePitch="360"/>
        </w:sectPr>
      </w:pPr>
      <w:r>
        <w:rPr>
          <w:lang w:val="ru-RU" w:eastAsia="ru-RU" w:bidi="ru-RU"/>
          <w:w w:val="100"/>
          <w:spacing w:val="0"/>
          <w:color w:val="000000"/>
          <w:position w:val="0"/>
        </w:rPr>
        <w:t>ул. Центральная, д. 71, Смоленская область, д. Мурыгино, 216466</w:t>
      </w:r>
    </w:p>
    <w:p>
      <w:pPr>
        <w:widowControl w:val="0"/>
        <w:spacing w:before="100" w:after="10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173" w:wrap="around" w:vAnchor="text" w:hAnchor="margin" w:x="2313" w:y="1513"/>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w:t>
      </w:r>
    </w:p>
    <w:p>
      <w:pPr>
        <w:pStyle w:val="Style9"/>
        <w:framePr w:h="170" w:wrap="around" w:vAnchor="text" w:hAnchor="margin" w:x="-273" w:y="1962"/>
        <w:widowControl w:val="0"/>
        <w:keepNext w:val="0"/>
        <w:keepLines w:val="0"/>
        <w:shd w:val="clear" w:color="auto" w:fill="auto"/>
        <w:bidi w:val="0"/>
        <w:jc w:val="left"/>
        <w:spacing w:before="0" w:after="0" w:line="170" w:lineRule="exact"/>
        <w:ind w:left="0" w:right="0" w:firstLine="0"/>
      </w:pPr>
      <w:r>
        <w:rPr>
          <w:rStyle w:val="CharStyle13"/>
          <w:spacing w:val="0"/>
        </w:rPr>
        <w:t>на №</w:t>
      </w:r>
    </w:p>
    <w:p>
      <w:pPr>
        <w:widowControl w:val="0"/>
        <w:rPr>
          <w:sz w:val="2"/>
          <w:szCs w:val="2"/>
        </w:rPr>
      </w:pPr>
    </w:p>
    <w:p>
      <w:pPr>
        <w:pStyle w:val="Style14"/>
        <w:widowControl w:val="0"/>
        <w:keepNext/>
        <w:keepLines/>
        <w:shd w:val="clear" w:color="auto" w:fill="auto"/>
        <w:bidi w:val="0"/>
        <w:spacing w:before="0" w:after="0" w:line="280" w:lineRule="exact"/>
        <w:ind w:left="0" w:right="0" w:firstLine="0"/>
      </w:pPr>
      <w:bookmarkStart w:id="0" w:name="bookmark0"/>
      <w:r>
        <w:rPr>
          <w:lang w:val="ru-RU" w:eastAsia="ru-RU" w:bidi="ru-RU"/>
          <w:w w:val="100"/>
          <w:color w:val="000000"/>
          <w:position w:val="0"/>
        </w:rPr>
        <w:t>УПРАВЛЕНИЕ</w:t>
      </w:r>
      <w:bookmarkEnd w:id="0"/>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6"/>
        <w:widowControl w:val="0"/>
        <w:keepNext w:val="0"/>
        <w:keepLines w:val="0"/>
        <w:shd w:val="clear" w:color="auto" w:fill="auto"/>
        <w:bidi w:val="0"/>
        <w:spacing w:before="0" w:after="70"/>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8"/>
        <w:widowControl w:val="0"/>
        <w:keepNext/>
        <w:keepLines/>
        <w:shd w:val="clear" w:color="auto" w:fill="auto"/>
        <w:bidi w:val="0"/>
        <w:spacing w:before="0" w:after="204" w:line="240" w:lineRule="exact"/>
        <w:ind w:left="0" w:right="0" w:firstLine="0"/>
      </w:pPr>
      <w:bookmarkStart w:id="1" w:name="bookmark1"/>
      <w:r>
        <w:rPr>
          <w:rStyle w:val="CharStyle20"/>
          <w:i w:val="0"/>
          <w:iCs w:val="0"/>
        </w:rPr>
        <w:t xml:space="preserve">/3, </w:t>
      </w:r>
      <w:r>
        <w:rPr>
          <w:lang w:val="ru-RU" w:eastAsia="ru-RU" w:bidi="ru-RU"/>
          <w:sz w:val="24"/>
          <w:szCs w:val="24"/>
          <w:w w:val="100"/>
          <w:spacing w:val="0"/>
          <w:color w:val="000000"/>
          <w:position w:val="0"/>
        </w:rPr>
        <w:t>// £р/Р</w:t>
      </w:r>
      <w:bookmarkEnd w:id="1"/>
    </w:p>
    <w:p>
      <w:pPr>
        <w:pStyle w:val="Style9"/>
        <w:widowControl w:val="0"/>
        <w:keepNext w:val="0"/>
        <w:keepLines w:val="0"/>
        <w:shd w:val="clear" w:color="auto" w:fill="auto"/>
        <w:bidi w:val="0"/>
        <w:jc w:val="left"/>
        <w:spacing w:before="0" w:after="0" w:line="180" w:lineRule="exact"/>
        <w:ind w:left="1900" w:right="0" w:firstLine="0"/>
      </w:pPr>
      <w:r>
        <w:rPr>
          <w:lang w:val="ru-RU" w:eastAsia="ru-RU" w:bidi="ru-RU"/>
          <w:w w:val="100"/>
          <w:spacing w:val="0"/>
          <w:color w:val="000000"/>
          <w:position w:val="0"/>
        </w:rPr>
        <w:t>от</w:t>
      </w:r>
    </w:p>
    <w:p>
      <w:pPr>
        <w:pStyle w:val="Style5"/>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Заявителю</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«СантехСервис67»</w:t>
      </w:r>
    </w:p>
    <w:p>
      <w:pPr>
        <w:pStyle w:val="Style9"/>
        <w:widowControl w:val="0"/>
        <w:keepNext w:val="0"/>
        <w:keepLines w:val="0"/>
        <w:shd w:val="clear" w:color="auto" w:fill="auto"/>
        <w:bidi w:val="0"/>
        <w:jc w:val="left"/>
        <w:spacing w:before="0" w:after="292"/>
        <w:ind w:left="20" w:right="40" w:firstLine="0"/>
      </w:pPr>
      <w:r>
        <w:rPr>
          <w:lang w:val="ru-RU" w:eastAsia="ru-RU" w:bidi="ru-RU"/>
          <w:w w:val="100"/>
          <w:spacing w:val="0"/>
          <w:color w:val="000000"/>
          <w:position w:val="0"/>
        </w:rPr>
        <w:t>ул. Брестская, д. 5, кв. 9 г. Смоленск, 214032</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Электронной площадке</w:t>
      </w:r>
    </w:p>
    <w:p>
      <w:pPr>
        <w:pStyle w:val="Style7"/>
        <w:widowControl w:val="0"/>
        <w:keepNext w:val="0"/>
        <w:keepLines w:val="0"/>
        <w:shd w:val="clear" w:color="auto" w:fill="auto"/>
        <w:bidi w:val="0"/>
        <w:jc w:val="left"/>
        <w:spacing w:before="0" w:after="17" w:line="240" w:lineRule="exact"/>
        <w:ind w:left="20" w:right="0" w:firstLine="0"/>
      </w:pPr>
      <w:r>
        <w:rPr>
          <w:lang w:val="ru-RU" w:eastAsia="ru-RU" w:bidi="ru-RU"/>
          <w:sz w:val="24"/>
          <w:szCs w:val="24"/>
          <w:w w:val="100"/>
          <w:spacing w:val="0"/>
          <w:color w:val="000000"/>
          <w:position w:val="0"/>
        </w:rPr>
        <w:t>АО «ЕЭТП»</w:t>
      </w:r>
    </w:p>
    <w:p>
      <w:pPr>
        <w:pStyle w:val="Style9"/>
        <w:widowControl w:val="0"/>
        <w:keepNext w:val="0"/>
        <w:keepLines w:val="0"/>
        <w:shd w:val="clear" w:color="auto" w:fill="auto"/>
        <w:bidi w:val="0"/>
        <w:jc w:val="left"/>
        <w:spacing w:before="0" w:after="0" w:line="180" w:lineRule="exact"/>
        <w:ind w:left="20" w:right="0" w:firstLine="0"/>
        <w:sectPr>
          <w:type w:val="continuous"/>
          <w:pgSz w:w="11906" w:h="16838"/>
          <w:pgMar w:top="589" w:left="1081" w:right="3275" w:bottom="603" w:header="0" w:footer="3" w:gutter="0"/>
          <w:rtlGutter w:val="0"/>
          <w:cols w:num="2" w:space="720" w:equalWidth="0">
            <w:col w:w="3653" w:space="1094"/>
            <w:col w:w="2803"/>
          </w:cols>
          <w:noEndnote/>
          <w:docGrid w:linePitch="360"/>
        </w:sectPr>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264" w:line="302" w:lineRule="exact"/>
        <w:ind w:left="20" w:right="0" w:firstLine="0"/>
      </w:pPr>
      <w:r>
        <w:rPr>
          <w:lang w:val="ru-RU" w:eastAsia="ru-RU" w:bidi="ru-RU"/>
          <w:sz w:val="24"/>
          <w:szCs w:val="24"/>
          <w:w w:val="100"/>
          <w:spacing w:val="0"/>
          <w:color w:val="000000"/>
          <w:position w:val="0"/>
        </w:rPr>
        <w:t>РЕШЕНИЕ по делу №265/17-ЕЗ/Ж о нарушении законодательства Российской Федерации о контрактной системе</w:t>
      </w:r>
    </w:p>
    <w:p>
      <w:pPr>
        <w:pStyle w:val="Style7"/>
        <w:tabs>
          <w:tab w:leader="none" w:pos="8564" w:val="right"/>
          <w:tab w:leader="none" w:pos="9735" w:val="right"/>
        </w:tabs>
        <w:widowControl w:val="0"/>
        <w:keepNext w:val="0"/>
        <w:keepLines w:val="0"/>
        <w:shd w:val="clear" w:color="auto" w:fill="auto"/>
        <w:bidi w:val="0"/>
        <w:jc w:val="both"/>
        <w:spacing w:before="0" w:after="0" w:line="422" w:lineRule="exact"/>
        <w:ind w:left="20" w:right="0" w:firstLine="0"/>
      </w:pPr>
      <w:r>
        <w:rPr>
          <w:lang w:val="ru-RU" w:eastAsia="ru-RU" w:bidi="ru-RU"/>
          <w:sz w:val="24"/>
          <w:szCs w:val="24"/>
          <w:w w:val="100"/>
          <w:spacing w:val="0"/>
          <w:color w:val="000000"/>
          <w:position w:val="0"/>
        </w:rPr>
        <w:t>10 ноября 2017 года -</w:t>
        <w:tab/>
        <w:t>г.</w:t>
        <w:tab/>
        <w:t>Смоленск</w:t>
      </w:r>
    </w:p>
    <w:p>
      <w:pPr>
        <w:pStyle w:val="Style7"/>
        <w:widowControl w:val="0"/>
        <w:keepNext w:val="0"/>
        <w:keepLines w:val="0"/>
        <w:shd w:val="clear" w:color="auto" w:fill="auto"/>
        <w:bidi w:val="0"/>
        <w:jc w:val="both"/>
        <w:spacing w:before="0" w:after="0" w:line="422" w:lineRule="exact"/>
        <w:ind w:left="20" w:right="0" w:firstLine="0"/>
        <w:sectPr>
          <w:type w:val="continuous"/>
          <w:pgSz w:w="11906" w:h="16838"/>
          <w:pgMar w:top="604" w:left="927" w:right="989" w:bottom="618" w:header="0" w:footer="3" w:gutter="0"/>
          <w:rtlGutter w:val="0"/>
          <w:cols w:space="720"/>
          <w:noEndnote/>
          <w:docGrid w:linePitch="360"/>
        </w:sectPr>
      </w:pPr>
      <w:r>
        <w:rPr>
          <w:lang w:val="ru-RU" w:eastAsia="ru-RU" w:bidi="ru-RU"/>
          <w:sz w:val="24"/>
          <w:szCs w:val="24"/>
          <w:w w:val="100"/>
          <w:spacing w:val="0"/>
          <w:color w:val="000000"/>
          <w:position w:val="0"/>
        </w:rPr>
        <w:t>Комиссия Смоленского У ФАС России по контролю в сфере закупок, в составе:</w:t>
      </w:r>
    </w:p>
    <w:p>
      <w:pPr>
        <w:pStyle w:val="Style7"/>
        <w:framePr w:w="5298" w:h="230" w:wrap="none" w:vAnchor="text" w:hAnchor="margin" w:x="134" w:y="3"/>
        <w:tabs>
          <w:tab w:leader="none" w:pos="3441" w:val="right"/>
          <w:tab w:leader="none" w:pos="4002" w:val="right"/>
          <w:tab w:leader="none" w:pos="5193" w:val="right"/>
        </w:tabs>
        <w:widowControl w:val="0"/>
        <w:keepNext w:val="0"/>
        <w:keepLines w:val="0"/>
        <w:shd w:val="clear" w:color="auto" w:fill="auto"/>
        <w:bidi w:val="0"/>
        <w:jc w:val="both"/>
        <w:spacing w:before="0" w:after="0" w:line="230" w:lineRule="exact"/>
        <w:ind w:left="100" w:right="0" w:firstLine="0"/>
      </w:pPr>
      <w:r>
        <w:rPr>
          <w:rStyle w:val="CharStyle21"/>
          <w:spacing w:val="0"/>
        </w:rPr>
        <w:t>Председатель Комиссии:</w:t>
        <w:tab/>
        <w:t>-</w:t>
        <w:tab/>
        <w:t>Н.А.</w:t>
        <w:tab/>
        <w:t>Акжитова</w:t>
      </w:r>
    </w:p>
    <w:p>
      <w:pPr>
        <w:pStyle w:val="Style7"/>
        <w:framePr w:w="2173" w:h="230" w:wrap="none" w:vAnchor="text" w:hAnchor="margin" w:x="129" w:y="700"/>
        <w:widowControl w:val="0"/>
        <w:keepNext w:val="0"/>
        <w:keepLines w:val="0"/>
        <w:shd w:val="clear" w:color="auto" w:fill="auto"/>
        <w:bidi w:val="0"/>
        <w:jc w:val="left"/>
        <w:spacing w:before="0" w:after="0" w:line="230" w:lineRule="exact"/>
        <w:ind w:left="100" w:right="0" w:firstLine="0"/>
      </w:pPr>
      <w:r>
        <w:rPr>
          <w:rStyle w:val="CharStyle21"/>
          <w:spacing w:val="0"/>
        </w:rPr>
        <w:t>Члены Комиссии:</w:t>
      </w:r>
    </w:p>
    <w:p>
      <w:pPr>
        <w:pStyle w:val="Style7"/>
        <w:framePr w:w="1914" w:h="2938" w:wrap="none" w:vAnchor="text" w:hAnchor="margin" w:x="3403" w:y="709"/>
        <w:widowControl w:val="0"/>
        <w:keepNext w:val="0"/>
        <w:keepLines w:val="0"/>
        <w:shd w:val="clear" w:color="auto" w:fill="auto"/>
        <w:bidi w:val="0"/>
        <w:jc w:val="left"/>
        <w:spacing w:before="0" w:after="908" w:line="230" w:lineRule="exact"/>
        <w:ind w:left="100" w:right="0" w:firstLine="0"/>
      </w:pPr>
      <w:r>
        <w:rPr>
          <w:rStyle w:val="CharStyle21"/>
          <w:spacing w:val="0"/>
        </w:rPr>
        <w:t>- В.П. Епейкин</w:t>
      </w:r>
    </w:p>
    <w:p>
      <w:pPr>
        <w:pStyle w:val="Style7"/>
        <w:framePr w:w="1914" w:h="2938" w:wrap="none" w:vAnchor="text" w:hAnchor="margin" w:x="3403" w:y="709"/>
        <w:widowControl w:val="0"/>
        <w:keepNext w:val="0"/>
        <w:keepLines w:val="0"/>
        <w:shd w:val="clear" w:color="auto" w:fill="auto"/>
        <w:bidi w:val="0"/>
        <w:jc w:val="left"/>
        <w:spacing w:before="0" w:after="1212" w:line="230" w:lineRule="exact"/>
        <w:ind w:left="100" w:right="0" w:firstLine="0"/>
      </w:pPr>
      <w:r>
        <w:rPr>
          <w:rStyle w:val="CharStyle21"/>
          <w:spacing w:val="0"/>
        </w:rPr>
        <w:t>- А.Е. Лукашев ,</w:t>
      </w:r>
    </w:p>
    <w:p>
      <w:pPr>
        <w:pStyle w:val="Style7"/>
        <w:framePr w:w="1914" w:h="2938" w:wrap="none" w:vAnchor="text" w:hAnchor="margin" w:x="3403" w:y="709"/>
        <w:widowControl w:val="0"/>
        <w:keepNext w:val="0"/>
        <w:keepLines w:val="0"/>
        <w:shd w:val="clear" w:color="auto" w:fill="auto"/>
        <w:bidi w:val="0"/>
        <w:jc w:val="left"/>
        <w:spacing w:before="0" w:after="0" w:line="230" w:lineRule="exact"/>
        <w:ind w:left="240" w:right="0" w:firstLine="0"/>
      </w:pPr>
      <w:r>
        <w:rPr>
          <w:rStyle w:val="CharStyle21"/>
          <w:spacing w:val="0"/>
        </w:rPr>
        <w:t>А.О. Казакова</w:t>
      </w:r>
    </w:p>
    <w:p>
      <w:pPr>
        <w:pStyle w:val="Style7"/>
        <w:framePr w:w="4246" w:h="4864" w:wrap="none" w:vAnchor="text" w:hAnchor="margin" w:x="6062" w:y="3"/>
        <w:widowControl w:val="0"/>
        <w:keepNext w:val="0"/>
        <w:keepLines w:val="0"/>
        <w:shd w:val="clear" w:color="auto" w:fill="auto"/>
        <w:bidi w:val="0"/>
        <w:jc w:val="left"/>
        <w:spacing w:before="0" w:after="60"/>
        <w:ind w:left="120" w:right="100" w:firstLine="0"/>
      </w:pPr>
      <w:r>
        <w:rPr>
          <w:rStyle w:val="CharStyle21"/>
          <w:spacing w:val="0"/>
        </w:rPr>
        <w:t>- руководитель Смоленского У ФАС России;</w:t>
      </w:r>
    </w:p>
    <w:p>
      <w:pPr>
        <w:pStyle w:val="Style7"/>
        <w:framePr w:w="4246" w:h="4864" w:wrap="none" w:vAnchor="text" w:hAnchor="margin" w:x="6062" w:y="3"/>
        <w:widowControl w:val="0"/>
        <w:keepNext w:val="0"/>
        <w:keepLines w:val="0"/>
        <w:shd w:val="clear" w:color="auto" w:fill="auto"/>
        <w:bidi w:val="0"/>
        <w:jc w:val="both"/>
        <w:spacing w:before="0" w:after="0"/>
        <w:ind w:left="120" w:right="100" w:firstLine="400"/>
      </w:pPr>
      <w:r>
        <w:rPr>
          <w:rStyle w:val="CharStyle21"/>
          <w:spacing w:val="0"/>
        </w:rPr>
        <w:t>начальник отдела контроля закупок и антимонопольного контроля органов власти Смоленского У ФАС России;</w:t>
      </w:r>
    </w:p>
    <w:p>
      <w:pPr>
        <w:pStyle w:val="Style7"/>
        <w:framePr w:w="4246" w:h="4864" w:wrap="none" w:vAnchor="text" w:hAnchor="margin" w:x="6062" w:y="3"/>
        <w:tabs>
          <w:tab w:leader="none" w:pos="3955" w:val="right"/>
        </w:tabs>
        <w:widowControl w:val="0"/>
        <w:keepNext w:val="0"/>
        <w:keepLines w:val="0"/>
        <w:shd w:val="clear" w:color="auto" w:fill="auto"/>
        <w:bidi w:val="0"/>
        <w:jc w:val="both"/>
        <w:spacing w:before="0" w:after="0"/>
        <w:ind w:left="120" w:right="280" w:firstLine="400"/>
      </w:pPr>
      <w:r>
        <w:rPr>
          <w:rStyle w:val="CharStyle21"/>
          <w:spacing w:val="0"/>
        </w:rPr>
        <w:t>ведущий специалист-эксперт отдела контроля закупок и антимонопольного</w:t>
        <w:tab/>
        <w:t>контроля</w:t>
      </w:r>
    </w:p>
    <w:p>
      <w:pPr>
        <w:pStyle w:val="Style7"/>
        <w:framePr w:w="4246" w:h="4864" w:wrap="none" w:vAnchor="text" w:hAnchor="margin" w:x="6062" w:y="3"/>
        <w:widowControl w:val="0"/>
        <w:keepNext w:val="0"/>
        <w:keepLines w:val="0"/>
        <w:shd w:val="clear" w:color="auto" w:fill="auto"/>
        <w:bidi w:val="0"/>
        <w:jc w:val="left"/>
        <w:spacing w:before="0" w:after="0"/>
        <w:ind w:left="120" w:right="100" w:firstLine="0"/>
      </w:pPr>
      <w:r>
        <w:rPr>
          <w:rStyle w:val="CharStyle21"/>
          <w:spacing w:val="0"/>
        </w:rPr>
        <w:t>органов власти Смоленского У ФАС России;</w:t>
      </w:r>
    </w:p>
    <w:p>
      <w:pPr>
        <w:pStyle w:val="Style7"/>
        <w:framePr w:w="4246" w:h="4864" w:wrap="none" w:vAnchor="text" w:hAnchor="margin" w:x="6062" w:y="3"/>
        <w:tabs>
          <w:tab w:leader="none" w:pos="3960" w:val="right"/>
        </w:tabs>
        <w:widowControl w:val="0"/>
        <w:keepNext w:val="0"/>
        <w:keepLines w:val="0"/>
        <w:shd w:val="clear" w:color="auto" w:fill="auto"/>
        <w:bidi w:val="0"/>
        <w:jc w:val="both"/>
        <w:spacing w:before="0" w:after="0"/>
        <w:ind w:left="120" w:right="280" w:firstLine="400"/>
      </w:pPr>
      <w:r>
        <w:rPr>
          <w:rStyle w:val="CharStyle21"/>
          <w:spacing w:val="0"/>
        </w:rPr>
        <w:t>ведущий специалист-эксперт отдела контроля закупок и антимонопольного</w:t>
        <w:tab/>
        <w:t>контроля</w:t>
      </w:r>
    </w:p>
    <w:p>
      <w:pPr>
        <w:pStyle w:val="Style7"/>
        <w:framePr w:w="4246" w:h="4864" w:wrap="none" w:vAnchor="text" w:hAnchor="margin" w:x="6062" w:y="3"/>
        <w:widowControl w:val="0"/>
        <w:keepNext w:val="0"/>
        <w:keepLines w:val="0"/>
        <w:shd w:val="clear" w:color="auto" w:fill="auto"/>
        <w:bidi w:val="0"/>
        <w:jc w:val="left"/>
        <w:spacing w:before="0" w:after="0"/>
        <w:ind w:left="120" w:right="280" w:firstLine="0"/>
      </w:pPr>
      <w:r>
        <w:rPr>
          <w:rStyle w:val="CharStyle21"/>
          <w:spacing w:val="0"/>
        </w:rPr>
        <w:t>органов власти Смоленского У ФАС России;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15" w:lineRule="exact"/>
      </w:pPr>
    </w:p>
    <w:p>
      <w:pPr>
        <w:widowControl w:val="0"/>
        <w:rPr>
          <w:sz w:val="2"/>
          <w:szCs w:val="2"/>
        </w:rPr>
        <w:sectPr>
          <w:type w:val="continuous"/>
          <w:pgSz w:w="11906" w:h="16838"/>
          <w:pgMar w:top="584" w:left="735" w:right="735" w:bottom="584"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302" w:lineRule="exact"/>
        <w:ind w:left="0" w:right="0" w:firstLine="0"/>
      </w:pPr>
      <w:r>
        <w:rPr>
          <w:lang w:val="ru-RU" w:eastAsia="ru-RU" w:bidi="ru-RU"/>
          <w:sz w:val="24"/>
          <w:szCs w:val="24"/>
          <w:w w:val="100"/>
          <w:spacing w:val="0"/>
          <w:color w:val="000000"/>
          <w:position w:val="0"/>
        </w:rPr>
        <w:t>при участии представителей:</w:t>
      </w:r>
    </w:p>
    <w:p>
      <w:pPr>
        <w:pStyle w:val="Style7"/>
        <w:widowControl w:val="0"/>
        <w:keepNext w:val="0"/>
        <w:keepLines w:val="0"/>
        <w:shd w:val="clear" w:color="auto" w:fill="auto"/>
        <w:bidi w:val="0"/>
        <w:jc w:val="left"/>
        <w:spacing w:before="0" w:after="0" w:line="302" w:lineRule="exact"/>
        <w:ind w:left="0" w:right="260" w:firstLine="0"/>
      </w:pPr>
      <w:r>
        <w:rPr>
          <w:lang w:val="ru-RU" w:eastAsia="ru-RU" w:bidi="ru-RU"/>
          <w:sz w:val="24"/>
          <w:szCs w:val="24"/>
          <w:w w:val="100"/>
          <w:spacing w:val="0"/>
          <w:color w:val="000000"/>
          <w:position w:val="0"/>
        </w:rPr>
        <w:t>от муниципального заказчика: Наумова И.В. главы муниципального образования Мурыгинского сельского поселения Починковского района Смоленской области</w:t>
      </w:r>
    </w:p>
    <w:p>
      <w:pPr>
        <w:pStyle w:val="Style22"/>
        <w:widowControl w:val="0"/>
        <w:keepNext/>
        <w:keepLines/>
        <w:shd w:val="clear" w:color="auto" w:fill="auto"/>
        <w:bidi w:val="0"/>
        <w:spacing w:before="0" w:after="0" w:line="260" w:lineRule="exact"/>
        <w:ind w:left="0" w:right="260" w:firstLine="0"/>
        <w:sectPr>
          <w:type w:val="continuous"/>
          <w:pgSz w:w="11906" w:h="16838"/>
          <w:pgMar w:top="604" w:left="836" w:right="735" w:bottom="618" w:header="0" w:footer="3" w:gutter="0"/>
          <w:rtlGutter w:val="0"/>
          <w:cols w:space="720"/>
          <w:noEndnote/>
          <w:docGrid w:linePitch="360"/>
        </w:sectPr>
      </w:pPr>
      <w:bookmarkStart w:id="2" w:name="bookmark2"/>
      <w:r>
        <w:rPr>
          <w:lang w:val="ru-RU" w:eastAsia="ru-RU" w:bidi="ru-RU"/>
          <w:w w:val="100"/>
          <w:color w:val="000000"/>
          <w:position w:val="0"/>
        </w:rPr>
        <w:t>022024</w:t>
      </w:r>
      <w:bookmarkEnd w:id="2"/>
    </w:p>
    <w:p>
      <w:pPr>
        <w:pStyle w:val="Style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(решение об избрании главы муниципального образования Мурыгинского сельского поселения Починковского района Смоленской области от 23.09.2015 № 7), Тюрина А.С. представителя по доверенности от 10.11.2017,</w:t>
      </w:r>
    </w:p>
    <w:p>
      <w:pPr>
        <w:pStyle w:val="Style7"/>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представители заявителя на заседание не явились, уведомлены надлежащим образом;</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целях осуществления возложенных на Комиссию Смоленского У ФАС России по контролю в сфере закупок (далее - Комиссия) (приказ Смоленского У ФАС России от</w:t>
      </w:r>
    </w:p>
    <w:p>
      <w:pPr>
        <w:pStyle w:val="Style7"/>
        <w:numPr>
          <w:ilvl w:val="0"/>
          <w:numId w:val="1"/>
        </w:numPr>
        <w:widowControl w:val="0"/>
        <w:keepNext w:val="0"/>
        <w:keepLines w:val="0"/>
        <w:shd w:val="clear" w:color="auto" w:fill="auto"/>
        <w:bidi w:val="0"/>
        <w:jc w:val="both"/>
        <w:spacing w:before="0" w:after="106"/>
        <w:ind w:left="20" w:right="20" w:firstLine="0"/>
      </w:pPr>
      <w:r>
        <w:rPr>
          <w:lang w:val="ru-RU" w:eastAsia="ru-RU" w:bidi="ru-RU"/>
          <w:sz w:val="24"/>
          <w:szCs w:val="24"/>
          <w:w w:val="100"/>
          <w:spacing w:val="0"/>
          <w:color w:val="000000"/>
          <w:position w:val="0"/>
        </w:rPr>
        <w:t xml:space="preserve">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 ФАС России жалобу ООО «СантехСервис67» на действия аукционной комиссии муниципального заказчика при проведении электронного аукциона на выполнение работ по строительству водозаборной скважины для хозяйственно-питьевого водоснабжения д. Льнозавод Мурыгинского сульского поселения Починковского района Смоленской области (извещение №0163300005217000004)</w:t>
      </w:r>
    </w:p>
    <w:p>
      <w:pPr>
        <w:pStyle w:val="Style7"/>
        <w:widowControl w:val="0"/>
        <w:keepNext w:val="0"/>
        <w:keepLines w:val="0"/>
        <w:shd w:val="clear" w:color="auto" w:fill="auto"/>
        <w:bidi w:val="0"/>
        <w:jc w:val="left"/>
        <w:spacing w:before="0" w:after="86" w:line="240" w:lineRule="exact"/>
        <w:ind w:left="4480" w:right="0" w:firstLine="0"/>
      </w:pPr>
      <w:r>
        <w:rPr>
          <w:lang w:val="ru-RU" w:eastAsia="ru-RU" w:bidi="ru-RU"/>
          <w:sz w:val="24"/>
          <w:szCs w:val="24"/>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своей жалобе ООО «СантехСервис67» (далее - Заявитель, Общество) указывает, что его права и законные интересы нарушены действиями аукционной комиссии, принявшей необоснованное решение об отказе Заявителю в допуске к участию в аукционе.</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связи с изложенным Общество просит выдать предписание об устранении выявленных нарушений законодательства.</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Представители заказчика с доводами жалобы не согласились, в связи с чем просят признать жалобу необоснованной.</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 ФАС России по контролю в сфере закупок установлено следующее.</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Извещение о проведении электронного аукциона на выполнение работ по строительству водозаборной скважины для хозяйственно-питьевого водоснабжения д. Льнозавод Мурыгинского сельского поселения Починковского района Смоленской области и аукционная документация размещены 07.10.2017 в единой информационной системе.</w:t>
      </w:r>
    </w:p>
    <w:p>
      <w:pPr>
        <w:pStyle w:val="Style7"/>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Начальная (максимальная) цена контракта - 3 939 560,00 руб.</w:t>
      </w:r>
    </w:p>
    <w:p>
      <w:pPr>
        <w:pStyle w:val="Style7"/>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w:t>
      </w:r>
    </w:p>
    <w:p>
      <w:pPr>
        <w:pStyle w:val="Style7"/>
        <w:numPr>
          <w:ilvl w:val="0"/>
          <w:numId w:val="3"/>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аукционной комиссией принято решение об отказе в допуске к участию в электронном аукционе заявке ООО «СантехСервис67» (порядковый номер 2) по основаниям п. 2 ч. 4 ст. 67 Закона о контактной системе - несоответствие информации предусмотренной ч. 3 </w:t>
      </w:r>
      <w:r>
        <w:rPr>
          <w:rStyle w:val="CharStyle24"/>
        </w:rPr>
        <w:t>ст*;</w:t>
      </w:r>
      <w:r>
        <w:rPr>
          <w:lang w:val="ru-RU" w:eastAsia="ru-RU" w:bidi="ru-RU"/>
          <w:sz w:val="24"/>
          <w:szCs w:val="24"/>
          <w:w w:val="100"/>
          <w:spacing w:val="0"/>
          <w:color w:val="000000"/>
          <w:position w:val="0"/>
        </w:rPr>
        <w:t xml:space="preserve"> 66 данного закона, требованиям документации, а именно:</w:t>
      </w:r>
    </w:p>
    <w:p>
      <w:pPr>
        <w:pStyle w:val="Style7"/>
        <w:numPr>
          <w:ilvl w:val="0"/>
          <w:numId w:val="5"/>
        </w:numPr>
        <w:tabs>
          <w:tab w:leader="none" w:pos="1138"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Класс точности манометра сигнализирующего, требуемый в аукционной документации, должен быть более 1,0; т.е. иметь более высокий класс точности - 0,6 и т.д. Таким образом, заявленный участником в строке 232 класс точности прибора манометра сигнализирующего - 1,5 не соответствует требованиям документации об электронном аукционе.</w:t>
      </w:r>
    </w:p>
    <w:p>
      <w:pPr>
        <w:pStyle w:val="Style7"/>
        <w:numPr>
          <w:ilvl w:val="0"/>
          <w:numId w:val="5"/>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Участник не указал конкретный сорт кислорода технического газообразного (строка 194 Заявки).</w:t>
      </w:r>
    </w:p>
    <w:p>
      <w:pPr>
        <w:pStyle w:val="Style7"/>
        <w:numPr>
          <w:ilvl w:val="0"/>
          <w:numId w:val="5"/>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Участник не указал конкретную марку проволоки электродов (строка 187 Заявки).</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Пунктом 232 таблицы «Характеристики используемых материалов» аукционной документации предусмотрено использовать манометр сигнализирующий, имеющий класс точности: более 1,0.</w:t>
      </w:r>
    </w:p>
    <w:p>
      <w:pPr>
        <w:pStyle w:val="Style7"/>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В заявке №2 предложен манометр сигнализирующий, имеющий класс точности 1,5.</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Таблице 2 раздела 2 «Технические требования» Межгосударственного стандарта «Манометры, вакуумметры, мановакуумметры, напоромеры, тягомеры тягонапоромеры. Общие технические условия» ГОСТ 2405-88 (утвержден и введен в действие с 01.07.1989 Постановлением Государственного комитета СССР по стандартам от 23.12.1988 № 4530), каждый класс точности названных приборов соответствует определенному «пределу допускаемой основной погрешности».</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Меньшая цифра класса точности означает меньший «предел допускаемой основной погрешности», т.е. более высокую степень точности.</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Классу точности 1,0 соответствует предел допускаемой основной погрешности 1,0% диапазона показаний; классу точности 1,5 соответствует предел допускаемой основной погрешности 1,5% диапазона показаний.</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Комиссия Смоленского У ФАС России приходит к выводу, что предложенный в заявке №2 класс точности манометра 1,5 ниже класса точности 1,0, что в свою очередь является основанием отказа в допуске к участию в аукционе по основаниям п. 2 ч. 4 ст. 67 Закона о контрактной системе. Решение аукционной комиссии принято правомерно.</w:t>
      </w:r>
    </w:p>
    <w:p>
      <w:pPr>
        <w:pStyle w:val="Style7"/>
        <w:widowControl w:val="0"/>
        <w:keepNext w:val="0"/>
        <w:keepLines w:val="0"/>
        <w:shd w:val="clear" w:color="auto" w:fill="auto"/>
        <w:bidi w:val="0"/>
        <w:jc w:val="both"/>
        <w:spacing w:before="0" w:after="0" w:line="269" w:lineRule="exact"/>
        <w:ind w:left="20" w:right="20" w:firstLine="540"/>
      </w:pPr>
      <w:r>
        <w:rPr>
          <w:rStyle w:val="CharStyle25"/>
        </w:rPr>
        <w:t>8</w:t>
      </w:r>
      <w:r>
        <w:rPr>
          <w:lang w:val="ru-RU" w:eastAsia="ru-RU" w:bidi="ru-RU"/>
          <w:sz w:val="24"/>
          <w:szCs w:val="24"/>
          <w:w w:val="100"/>
          <w:spacing w:val="0"/>
          <w:color w:val="000000"/>
          <w:position w:val="0"/>
        </w:rPr>
        <w:t>.</w:t>
      </w:r>
      <w:r>
        <w:rPr>
          <w:rStyle w:val="CharStyle25"/>
        </w:rPr>
        <w:t>1</w:t>
      </w:r>
      <w:r>
        <w:rPr>
          <w:lang w:val="ru-RU" w:eastAsia="ru-RU" w:bidi="ru-RU"/>
          <w:sz w:val="24"/>
          <w:szCs w:val="24"/>
          <w:w w:val="100"/>
          <w:spacing w:val="0"/>
          <w:color w:val="000000"/>
          <w:position w:val="0"/>
        </w:rPr>
        <w:t xml:space="preserve">. Согласно п. 8.4. Инструкции участникам закупки (3- 2017 г.) аукционной документации первая часть заявки на участие в электронном аукционе должна содержать информацию, предусмотренную пунктом 13 Информационной карты. Заявка на участие в аукционе в электронной форме должна содержать четко читаемый текст. Сведения, содержащиеся в заявке на участие в аукционе в электронной форме, не должны допускать двусмысленных толкований. Участник электронного аукциона при заполнении первой части заявки на участие в аукционе в электронной форме должен указать «Конкретные показатели» без использования слов: «или эквивалент», «аналог», «не более», «не менее», «должно быть», «должен иметь», «должен», «должно», «или», «не ниже», «свыше», «менее», «более», «&gt;», «&lt;», «&gt;», «&lt;» </w:t>
      </w:r>
      <w:r>
        <w:rPr>
          <w:rStyle w:val="CharStyle26"/>
        </w:rPr>
        <w:t>«ниже»,</w:t>
      </w:r>
      <w:r>
        <w:rPr>
          <w:lang w:val="ru-RU" w:eastAsia="ru-RU" w:bidi="ru-RU"/>
          <w:sz w:val="24"/>
          <w:szCs w:val="24"/>
          <w:w w:val="100"/>
          <w:spacing w:val="0"/>
          <w:color w:val="000000"/>
          <w:position w:val="0"/>
        </w:rPr>
        <w:t xml:space="preserve"> «выше», «ранее», «не ранее», «крупнее», «не хуже», «хуже», «минимум», «максимум», «или», «не выше», «не должна превышать» и их производные, «от» (при указании конкретного показателя по минимальному значению показателей вида «от х», где «х» - нижнее числовое значение, участник закупки должен указать конкретный показатель, больший или равный «х»), «до» (при указании конкретного показателя по максимальному значению показателей вида «до х», где «х» - верхнее числовое значение, участник закупки должен указать конкретный показатель равный или меньший «х»), В показателях технического задания, в которых указаны диапазонные значения, участник закупки может указать конкретный показатель, либо показатель в виде диапазона. Если показатели указаны через знак «-», участник может указать конкретные показатели или диапазон согласно паспорту производителя или государственному стандарту. Если показатели указаны через «,» «;», участник должен указать все перечисленные значения и показатели. В случае, если показатели указаны «+», «х+х», «+/-», </w:t>
      </w:r>
      <w:r>
        <w:rPr>
          <w:rStyle w:val="CharStyle27"/>
        </w:rPr>
        <w:t>«X</w:t>
      </w:r>
      <w:r>
        <w:rPr>
          <w:rStyle w:val="CharStyle27"/>
          <w:vertAlign w:val="superscript"/>
        </w:rPr>
        <w:t>х</w:t>
      </w:r>
      <w:r>
        <w:rPr>
          <w:rStyle w:val="CharStyle27"/>
        </w:rPr>
        <w:t xml:space="preserve">», </w:t>
      </w:r>
      <w:r>
        <w:rPr>
          <w:lang w:val="ru-RU" w:eastAsia="ru-RU" w:bidi="ru-RU"/>
          <w:sz w:val="24"/>
          <w:szCs w:val="24"/>
          <w:w w:val="100"/>
          <w:spacing w:val="0"/>
          <w:color w:val="000000"/>
          <w:position w:val="0"/>
        </w:rPr>
        <w:t>участник закупки может указать конкретный показатель или показатель в виде диапазона: «+», «х+х», «+/-», «х</w:t>
      </w:r>
      <w:r>
        <w:rPr>
          <w:lang w:val="ru-RU" w:eastAsia="ru-RU" w:bidi="ru-RU"/>
          <w:vertAlign w:val="superscript"/>
          <w:sz w:val="24"/>
          <w:szCs w:val="24"/>
          <w:w w:val="100"/>
          <w:spacing w:val="0"/>
          <w:color w:val="000000"/>
          <w:position w:val="0"/>
        </w:rPr>
        <w:t>х</w:t>
      </w:r>
      <w:r>
        <w:rPr>
          <w:lang w:val="ru-RU" w:eastAsia="ru-RU" w:bidi="ru-RU"/>
          <w:sz w:val="24"/>
          <w:szCs w:val="24"/>
          <w:w w:val="100"/>
          <w:spacing w:val="0"/>
          <w:color w:val="000000"/>
          <w:position w:val="0"/>
        </w:rPr>
        <w:t>».</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В заявке №2 в позиции 187 «Электроды» указаны марки проволоки Св-08А,Св-08 </w:t>
      </w:r>
      <w:r>
        <w:rPr>
          <w:lang w:val="en-US" w:eastAsia="en-US" w:bidi="en-US"/>
          <w:sz w:val="24"/>
          <w:szCs w:val="24"/>
          <w:w w:val="100"/>
          <w:spacing w:val="0"/>
          <w:color w:val="000000"/>
          <w:position w:val="0"/>
        </w:rPr>
        <w:t xml:space="preserve">FA, </w:t>
      </w:r>
      <w:r>
        <w:rPr>
          <w:lang w:val="ru-RU" w:eastAsia="ru-RU" w:bidi="ru-RU"/>
          <w:sz w:val="24"/>
          <w:szCs w:val="24"/>
          <w:w w:val="100"/>
          <w:spacing w:val="0"/>
          <w:color w:val="000000"/>
          <w:position w:val="0"/>
        </w:rPr>
        <w:t>Св-10 Г2, Св-12 ГС, Св-08Г2С, Св-10 ГН, Св-08ГСМТ. Св-10 НМА. В позиции 194 «Кислород технический газообразный» указан сорт кислорода 1,2.</w:t>
      </w:r>
      <w:r>
        <w:br w:type="page"/>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Инструкции участникам закупки аукционной документации указано, что если показатели указаны через «,» «;», участник должен указать все перечисленные значения и показатели.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На основании вышеизложенного Комиссия приходит к выводу, что аукционной комиссией неправомерно отказано в допуске к участию в электронном аукционе участнику закупки с порядковым номером 2 в с вязи с тем, что ООО «СантехСервис67» не указал конкретный сорт кислорода технического газообразного (строка 194 Заявки) и конкретную марку проволоки электродов (строка 187 Заявки).</w:t>
      </w:r>
    </w:p>
    <w:p>
      <w:pPr>
        <w:pStyle w:val="Style7"/>
        <w:widowControl w:val="0"/>
        <w:keepNext w:val="0"/>
        <w:keepLines w:val="0"/>
        <w:shd w:val="clear" w:color="auto" w:fill="auto"/>
        <w:bidi w:val="0"/>
        <w:jc w:val="both"/>
        <w:spacing w:before="0" w:after="226"/>
        <w:ind w:left="20" w:right="20" w:firstLine="700"/>
      </w:pPr>
      <w:r>
        <w:rPr>
          <w:lang w:val="ru-RU" w:eastAsia="ru-RU" w:bidi="ru-RU"/>
          <w:sz w:val="24"/>
          <w:szCs w:val="24"/>
          <w:w w:val="100"/>
          <w:spacing w:val="0"/>
          <w:color w:val="000000"/>
          <w:position w:val="0"/>
        </w:rPr>
        <w:t>Изучив все материалы по жалобе, учитывая факт правомерности решения заказчика по отказу в допуске к участию в электронном аукционе Заявителю по строке 232 заявки «Класс точности манометра, руководствуясь ст. 106 Закона о контрактной системе Комиссия Смоленского У ФАС России по контролю в сфере закупок</w:t>
      </w:r>
    </w:p>
    <w:p>
      <w:pPr>
        <w:pStyle w:val="Style7"/>
        <w:widowControl w:val="0"/>
        <w:keepNext w:val="0"/>
        <w:keepLines w:val="0"/>
        <w:shd w:val="clear" w:color="auto" w:fill="auto"/>
        <w:bidi w:val="0"/>
        <w:jc w:val="center"/>
        <w:spacing w:before="0" w:after="76" w:line="240" w:lineRule="exact"/>
        <w:ind w:left="0" w:right="0" w:firstLine="0"/>
      </w:pPr>
      <w:r>
        <w:rPr>
          <w:lang w:val="ru-RU" w:eastAsia="ru-RU" w:bidi="ru-RU"/>
          <w:sz w:val="24"/>
          <w:szCs w:val="24"/>
          <w:w w:val="100"/>
          <w:spacing w:val="0"/>
          <w:color w:val="000000"/>
          <w:position w:val="0"/>
        </w:rPr>
        <w:t>РЕШИЛА:</w:t>
      </w:r>
    </w:p>
    <w:p>
      <w:pPr>
        <w:pStyle w:val="Style7"/>
        <w:widowControl w:val="0"/>
        <w:keepNext w:val="0"/>
        <w:keepLines w:val="0"/>
        <w:shd w:val="clear" w:color="auto" w:fill="auto"/>
        <w:bidi w:val="0"/>
        <w:jc w:val="both"/>
        <w:spacing w:before="0" w:after="356"/>
        <w:ind w:left="20" w:right="20" w:firstLine="700"/>
      </w:pPr>
      <w:r>
        <w:rPr>
          <w:lang w:val="ru-RU" w:eastAsia="ru-RU" w:bidi="ru-RU"/>
          <w:sz w:val="24"/>
          <w:szCs w:val="24"/>
          <w:w w:val="100"/>
          <w:spacing w:val="0"/>
          <w:color w:val="000000"/>
          <w:position w:val="0"/>
        </w:rPr>
        <w:t>Признать жалобу ООО «СантехСервис67» на действия аукционной комиссии муниципального заказчика при проведении электронного аукциона на выполнение работ по строительству водозаборной скважины для хозяйственно-питьевого водоснабжения д. Льнозавод Мурыгинского сельского поселения Починковского района Смоленской области (извещение № 0163300005217000004) необоснованной.</w:t>
      </w:r>
    </w:p>
    <w:p>
      <w:pPr>
        <w:pStyle w:val="Style28"/>
        <w:widowControl w:val="0"/>
        <w:keepNext w:val="0"/>
        <w:keepLines w:val="0"/>
        <w:shd w:val="clear" w:color="auto" w:fill="auto"/>
        <w:bidi w:val="0"/>
        <w:spacing w:before="0" w:after="0"/>
        <w:ind w:left="20" w:right="20"/>
        <w:sectPr>
          <w:pgSz w:w="11906" w:h="16838"/>
          <w:pgMar w:top="1437" w:left="927" w:right="884" w:bottom="847" w:header="0" w:footer="3" w:gutter="0"/>
          <w:rtlGutter w:val="0"/>
          <w:cols w:space="720"/>
          <w:noEndnote/>
          <w:docGrid w:linePitch="360"/>
        </w:sectPr>
      </w:pPr>
      <w:r>
        <w:rPr>
          <w:lang w:val="ru-RU" w:eastAsia="ru-RU" w:bidi="ru-RU"/>
          <w:sz w:val="24"/>
          <w:szCs w:val="24"/>
          <w:w w:val="100"/>
          <w:spacing w:val="0"/>
          <w:color w:val="000000"/>
          <w:position w:val="0"/>
        </w:rPr>
        <w:t>В соответствии с ч.9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7"/>
        <w:framePr w:w="1914" w:h="2069" w:wrap="none" w:vAnchor="text" w:hAnchor="margin" w:x="7857" w:y="524"/>
        <w:widowControl w:val="0"/>
        <w:keepNext w:val="0"/>
        <w:keepLines w:val="0"/>
        <w:shd w:val="clear" w:color="auto" w:fill="auto"/>
        <w:bidi w:val="0"/>
        <w:jc w:val="left"/>
        <w:spacing w:before="0" w:after="617" w:line="230" w:lineRule="exact"/>
        <w:ind w:left="120" w:right="0" w:firstLine="0"/>
      </w:pPr>
      <w:r>
        <w:rPr>
          <w:rStyle w:val="CharStyle21"/>
          <w:spacing w:val="0"/>
        </w:rPr>
        <w:t>Н.А. Акжитова</w:t>
      </w:r>
    </w:p>
    <w:p>
      <w:pPr>
        <w:pStyle w:val="Style7"/>
        <w:framePr w:w="1914" w:h="2069" w:wrap="none" w:vAnchor="text" w:hAnchor="margin" w:x="7857" w:y="524"/>
        <w:widowControl w:val="0"/>
        <w:keepNext w:val="0"/>
        <w:keepLines w:val="0"/>
        <w:shd w:val="clear" w:color="auto" w:fill="auto"/>
        <w:bidi w:val="0"/>
        <w:jc w:val="left"/>
        <w:spacing w:before="0" w:after="617" w:line="230" w:lineRule="exact"/>
        <w:ind w:left="120" w:right="0" w:firstLine="0"/>
      </w:pPr>
      <w:r>
        <w:rPr>
          <w:rStyle w:val="CharStyle21"/>
          <w:spacing w:val="0"/>
        </w:rPr>
        <w:t>В.П. Епейкин</w:t>
      </w:r>
    </w:p>
    <w:p>
      <w:pPr>
        <w:pStyle w:val="Style7"/>
        <w:framePr w:w="1914" w:h="2069" w:wrap="none" w:vAnchor="text" w:hAnchor="margin" w:x="7857" w:y="524"/>
        <w:widowControl w:val="0"/>
        <w:keepNext w:val="0"/>
        <w:keepLines w:val="0"/>
        <w:shd w:val="clear" w:color="auto" w:fill="auto"/>
        <w:bidi w:val="0"/>
        <w:jc w:val="left"/>
        <w:spacing w:before="0" w:after="0" w:line="230" w:lineRule="exact"/>
        <w:ind w:left="120" w:right="0" w:firstLine="0"/>
      </w:pPr>
      <w:r>
        <w:rPr>
          <w:rStyle w:val="CharStyle21"/>
          <w:spacing w:val="0"/>
        </w:rPr>
        <w:t>А.Е. Лукашев</w:t>
      </w:r>
    </w:p>
    <w:p>
      <w:pPr>
        <w:pStyle w:val="Style7"/>
        <w:framePr w:w="2907" w:h="232" w:wrap="none" w:vAnchor="text" w:hAnchor="margin" w:x="-53" w:y="498"/>
        <w:widowControl w:val="0"/>
        <w:keepNext w:val="0"/>
        <w:keepLines w:val="0"/>
        <w:shd w:val="clear" w:color="auto" w:fill="auto"/>
        <w:bidi w:val="0"/>
        <w:jc w:val="left"/>
        <w:spacing w:before="0" w:after="0" w:line="230" w:lineRule="exact"/>
        <w:ind w:left="100" w:right="0" w:firstLine="0"/>
      </w:pPr>
      <w:r>
        <w:rPr>
          <w:rStyle w:val="CharStyle21"/>
          <w:spacing w:val="0"/>
        </w:rPr>
        <w:t>Председатель Комиссии</w:t>
      </w:r>
    </w:p>
    <w:p>
      <w:pPr>
        <w:pStyle w:val="Style7"/>
        <w:framePr w:w="2110" w:h="230" w:wrap="none" w:vAnchor="text" w:hAnchor="margin" w:x="-58" w:y="1113"/>
        <w:widowControl w:val="0"/>
        <w:keepNext w:val="0"/>
        <w:keepLines w:val="0"/>
        <w:shd w:val="clear" w:color="auto" w:fill="auto"/>
        <w:bidi w:val="0"/>
        <w:jc w:val="left"/>
        <w:spacing w:before="0" w:after="0" w:line="230" w:lineRule="exact"/>
        <w:ind w:left="100" w:right="0" w:firstLine="0"/>
      </w:pPr>
      <w:r>
        <w:rPr>
          <w:rStyle w:val="CharStyle21"/>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1" w:lineRule="exact"/>
      </w:pPr>
    </w:p>
    <w:p>
      <w:pPr>
        <w:widowControl w:val="0"/>
        <w:rPr>
          <w:sz w:val="2"/>
          <w:szCs w:val="2"/>
        </w:rPr>
        <w:sectPr>
          <w:type w:val="continuous"/>
          <w:pgSz w:w="11906" w:h="16838"/>
          <w:pgMar w:top="803" w:left="884" w:right="884" w:bottom="803"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А.О. Казакова</w:t>
      </w:r>
    </w:p>
    <w:sectPr>
      <w:type w:val="continuous"/>
      <w:pgSz w:w="11906" w:h="16838"/>
      <w:pgMar w:top="3022" w:left="8820" w:right="1226" w:bottom="24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9.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6) Exact"/>
    <w:basedOn w:val="DefaultParagraphFont"/>
    <w:link w:val="Style11"/>
    <w:rPr>
      <w:b w:val="0"/>
      <w:bCs w:val="0"/>
      <w:i w:val="0"/>
      <w:iCs w:val="0"/>
      <w:u w:val="none"/>
      <w:strike w:val="0"/>
      <w:smallCaps w:val="0"/>
      <w:sz w:val="17"/>
      <w:szCs w:val="17"/>
      <w:rFonts w:ascii="Verdana" w:eastAsia="Verdana" w:hAnsi="Verdana" w:cs="Verdana"/>
    </w:rPr>
  </w:style>
  <w:style w:type="character" w:customStyle="1" w:styleId="CharStyle13">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15">
    <w:name w:val="Заголовок №3_"/>
    <w:basedOn w:val="DefaultParagraphFont"/>
    <w:link w:val="Style14"/>
    <w:rPr>
      <w:b/>
      <w:bCs/>
      <w:i w:val="0"/>
      <w:iCs w:val="0"/>
      <w:u w:val="none"/>
      <w:strike w:val="0"/>
      <w:smallCaps w:val="0"/>
      <w:sz w:val="28"/>
      <w:szCs w:val="28"/>
      <w:rFonts w:ascii="Times New Roman" w:eastAsia="Times New Roman" w:hAnsi="Times New Roman" w:cs="Times New Roman"/>
      <w:spacing w:val="-10"/>
    </w:rPr>
  </w:style>
  <w:style w:type="character" w:customStyle="1" w:styleId="CharStyle17">
    <w:name w:val="Основной текст (5)_"/>
    <w:basedOn w:val="DefaultParagraphFont"/>
    <w:link w:val="Style16"/>
    <w:rPr>
      <w:b w:val="0"/>
      <w:bCs w:val="0"/>
      <w:i w:val="0"/>
      <w:iCs w:val="0"/>
      <w:u w:val="none"/>
      <w:strike w:val="0"/>
      <w:smallCaps w:val="0"/>
      <w:sz w:val="15"/>
      <w:szCs w:val="15"/>
      <w:rFonts w:ascii="Times New Roman" w:eastAsia="Times New Roman" w:hAnsi="Times New Roman" w:cs="Times New Roman"/>
    </w:rPr>
  </w:style>
  <w:style w:type="character" w:customStyle="1" w:styleId="CharStyle19">
    <w:name w:val="Заголовок №1_"/>
    <w:basedOn w:val="DefaultParagraphFont"/>
    <w:link w:val="Style18"/>
    <w:rPr>
      <w:b w:val="0"/>
      <w:bCs w:val="0"/>
      <w:i/>
      <w:iCs/>
      <w:u w:val="none"/>
      <w:strike w:val="0"/>
      <w:smallCaps w:val="0"/>
      <w:rFonts w:ascii="Times New Roman" w:eastAsia="Times New Roman" w:hAnsi="Times New Roman" w:cs="Times New Roman"/>
    </w:rPr>
  </w:style>
  <w:style w:type="character" w:customStyle="1" w:styleId="CharStyle20">
    <w:name w:val="Заголовок №1 + Не курсив"/>
    <w:basedOn w:val="CharStyle19"/>
    <w:rPr>
      <w:lang w:val="ru-RU" w:eastAsia="ru-RU" w:bidi="ru-RU"/>
      <w:i/>
      <w:iCs/>
      <w:sz w:val="24"/>
      <w:szCs w:val="24"/>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3">
    <w:name w:val="Заголовок №2_"/>
    <w:basedOn w:val="DefaultParagraphFont"/>
    <w:link w:val="Style22"/>
    <w:rPr>
      <w:b/>
      <w:bCs/>
      <w:i w:val="0"/>
      <w:iCs w:val="0"/>
      <w:u w:val="none"/>
      <w:strike w:val="0"/>
      <w:smallCaps w:val="0"/>
      <w:sz w:val="26"/>
      <w:szCs w:val="26"/>
      <w:rFonts w:ascii="Times New Roman" w:eastAsia="Times New Roman" w:hAnsi="Times New Roman" w:cs="Times New Roman"/>
      <w:spacing w:val="50"/>
    </w:rPr>
  </w:style>
  <w:style w:type="character" w:customStyle="1" w:styleId="CharStyle24">
    <w:name w:val="Основной текст + Интервал -1 pt"/>
    <w:basedOn w:val="CharStyle8"/>
    <w:rPr>
      <w:lang w:val="ru-RU" w:eastAsia="ru-RU" w:bidi="ru-RU"/>
      <w:sz w:val="24"/>
      <w:szCs w:val="24"/>
      <w:w w:val="100"/>
      <w:spacing w:val="-20"/>
      <w:color w:val="000000"/>
      <w:position w:val="0"/>
    </w:rPr>
  </w:style>
  <w:style w:type="character" w:customStyle="1" w:styleId="CharStyle25">
    <w:name w:val="Основной текст + Candara,7,5 pt"/>
    <w:basedOn w:val="CharStyle8"/>
    <w:rPr>
      <w:lang w:val="ru-RU" w:eastAsia="ru-RU" w:bidi="ru-RU"/>
      <w:sz w:val="15"/>
      <w:szCs w:val="15"/>
      <w:rFonts w:ascii="Candara" w:eastAsia="Candara" w:hAnsi="Candara" w:cs="Candara"/>
      <w:w w:val="100"/>
      <w:spacing w:val="0"/>
      <w:color w:val="000000"/>
      <w:position w:val="0"/>
    </w:rPr>
  </w:style>
  <w:style w:type="character" w:customStyle="1" w:styleId="CharStyle26">
    <w:name w:val="Основной текст + Курсив"/>
    <w:basedOn w:val="CharStyle8"/>
    <w:rPr>
      <w:lang w:val="ru-RU" w:eastAsia="ru-RU" w:bidi="ru-RU"/>
      <w:i/>
      <w:iCs/>
      <w:sz w:val="24"/>
      <w:szCs w:val="24"/>
      <w:w w:val="100"/>
      <w:spacing w:val="0"/>
      <w:color w:val="000000"/>
      <w:position w:val="0"/>
    </w:rPr>
  </w:style>
  <w:style w:type="character" w:customStyle="1" w:styleId="CharStyle27">
    <w:name w:val="Основной текст + 7,5 pt"/>
    <w:basedOn w:val="CharStyle8"/>
    <w:rPr>
      <w:lang w:val="ru-RU" w:eastAsia="ru-RU" w:bidi="ru-RU"/>
      <w:sz w:val="15"/>
      <w:szCs w:val="15"/>
      <w:w w:val="100"/>
      <w:spacing w:val="0"/>
      <w:color w:val="000000"/>
      <w:position w:val="0"/>
    </w:rPr>
  </w:style>
  <w:style w:type="character" w:customStyle="1" w:styleId="CharStyle29">
    <w:name w:val="Основной текст (7)_"/>
    <w:basedOn w:val="DefaultParagraphFont"/>
    <w:link w:val="Style28"/>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29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6)"/>
    <w:basedOn w:val="Normal"/>
    <w:link w:val="CharStyle12"/>
    <w:pPr>
      <w:widowControl w:val="0"/>
      <w:shd w:val="clear" w:color="auto" w:fill="FFFFFF"/>
      <w:spacing w:line="0" w:lineRule="exact"/>
    </w:pPr>
    <w:rPr>
      <w:b w:val="0"/>
      <w:bCs w:val="0"/>
      <w:i w:val="0"/>
      <w:iCs w:val="0"/>
      <w:u w:val="none"/>
      <w:strike w:val="0"/>
      <w:smallCaps w:val="0"/>
      <w:sz w:val="17"/>
      <w:szCs w:val="17"/>
      <w:rFonts w:ascii="Verdana" w:eastAsia="Verdana" w:hAnsi="Verdana" w:cs="Verdana"/>
    </w:rPr>
  </w:style>
  <w:style w:type="paragraph" w:customStyle="1" w:styleId="Style14">
    <w:name w:val="Заголовок №3"/>
    <w:basedOn w:val="Normal"/>
    <w:link w:val="CharStyle15"/>
    <w:pPr>
      <w:widowControl w:val="0"/>
      <w:shd w:val="clear" w:color="auto" w:fill="FFFFFF"/>
      <w:jc w:val="center"/>
      <w:outlineLvl w:val="2"/>
      <w:spacing w:after="60" w:line="0" w:lineRule="exact"/>
    </w:pPr>
    <w:rPr>
      <w:b/>
      <w:bCs/>
      <w:i w:val="0"/>
      <w:iCs w:val="0"/>
      <w:u w:val="none"/>
      <w:strike w:val="0"/>
      <w:smallCaps w:val="0"/>
      <w:sz w:val="28"/>
      <w:szCs w:val="28"/>
      <w:rFonts w:ascii="Times New Roman" w:eastAsia="Times New Roman" w:hAnsi="Times New Roman" w:cs="Times New Roman"/>
      <w:spacing w:val="-10"/>
    </w:rPr>
  </w:style>
  <w:style w:type="paragraph" w:customStyle="1" w:styleId="Style16">
    <w:name w:val="Основной текст (5)"/>
    <w:basedOn w:val="Normal"/>
    <w:link w:val="CharStyle17"/>
    <w:pPr>
      <w:widowControl w:val="0"/>
      <w:shd w:val="clear" w:color="auto" w:fill="FFFFFF"/>
      <w:jc w:val="center"/>
      <w:spacing w:after="12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center"/>
      <w:outlineLvl w:val="0"/>
      <w:spacing w:before="120" w:after="300" w:line="0" w:lineRule="exact"/>
    </w:pPr>
    <w:rPr>
      <w:b w:val="0"/>
      <w:bCs w:val="0"/>
      <w:i/>
      <w:iCs/>
      <w:u w:val="none"/>
      <w:strike w:val="0"/>
      <w:smallCaps w:val="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right"/>
      <w:outlineLvl w:val="1"/>
      <w:spacing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8">
    <w:name w:val="Основной текст (7)"/>
    <w:basedOn w:val="Normal"/>
    <w:link w:val="CharStyle29"/>
    <w:pPr>
      <w:widowControl w:val="0"/>
      <w:shd w:val="clear" w:color="auto" w:fill="FFFFFF"/>
      <w:jc w:val="both"/>
      <w:spacing w:before="360" w:line="302"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