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79120" cy="67056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70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center"/>
      </w:pPr>
      <w:r>
        <w:rPr>
          <w:b/>
          <w:bCs/>
          <w:color w:val="222055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К. Либкнехга, 2,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Архангельск, 163000</w:t>
        <w:br/>
        <w:t>Тел.: (8182) 20-73-21, факс: (8182) 21-54-45</w:t>
        <w:br/>
        <w:t>е-шаП: 4о29@(а5.§оу.ги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2243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222055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</w:t>
        <w:tab/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2фз-25 029/06/51-9/2025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Управление Федеральной службы государственной регистрации, кадастра и картографии по Архангельской области и Ненецкому автономному округу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163000, г. Архангельск, ул. Садовая, дом 5, корп.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Е-шаП: от!о@г29.го8гее81т.ги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117312, г. Москва, ул. Кожевническая, д. 14, стр. 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ко@го8ейог§.ги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«РИК-КОМ»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20"/>
          <w:szCs w:val="20"/>
        </w:rPr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54" w:right="734" w:bottom="442" w:left="1292" w:header="0" w:footer="3" w:gutter="0"/>
          <w:pgNumType w:start="1"/>
          <w:cols w:num="2" w:space="720" w:equalWidth="0">
            <w:col w:w="4774" w:space="857"/>
            <w:col w:w="424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164501, Архангельская область, г. Северодвинск, ул Торцева, д. 28а, помещ. 2 Е-таП: пккот!®пккот.ги</w:t>
      </w:r>
    </w:p>
    <w:p>
      <w:pPr>
        <w:widowControl w:val="0"/>
        <w:spacing w:line="86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79" w:right="0" w:bottom="6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8"/>
        <w:keepNext/>
        <w:keepLines/>
        <w:widowControl w:val="0"/>
        <w:shd w:val="clear" w:color="auto" w:fill="auto"/>
        <w:tabs>
          <w:tab w:pos="8042" w:val="left"/>
        </w:tabs>
        <w:bidi w:val="0"/>
        <w:spacing w:before="0" w:after="60"/>
        <w:ind w:left="0" w:right="0" w:firstLine="140"/>
        <w:jc w:val="both"/>
      </w:pPr>
      <w:bookmarkStart w:id="0" w:name="bookmark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22 января 2025 года</w:t>
        <w:tab/>
        <w:t>г. Архангельск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0" w:right="0" w:firstLine="8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14" w:val="left"/>
        </w:tabs>
        <w:bidi w:val="0"/>
        <w:spacing w:before="0" w:after="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2" w:lineRule="auto"/>
        <w:ind w:left="2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84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2314" w:val="left"/>
        </w:tabs>
        <w:bidi w:val="0"/>
        <w:spacing w:before="0" w:after="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62" w:lineRule="auto"/>
        <w:ind w:left="1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84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от: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8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Путаевой К.П. (доверенность от 20.01.2025 №06-36/009);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59" w:lineRule="auto"/>
        <w:ind w:left="14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6368415</wp:posOffset>
                </wp:positionH>
                <wp:positionV relativeFrom="paragraph">
                  <wp:posOffset>622300</wp:posOffset>
                </wp:positionV>
                <wp:extent cx="706120" cy="2197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61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046110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1.44999999999999pt;margin-top:49.pt;width:55.600000000000001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046110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Участника закупки: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Лето К.А. (доверенность от 16.01.2025 № 1601/25-02), Поликарпова Д.А. (доверенность от 16.01.2025 № 1601/25-01).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dot" w:pos="1004" w:val="right"/>
          <w:tab w:pos="1386" w:val="left"/>
        </w:tabs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чЦг.—т. 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,... </w:t>
        <w:tab/>
        <w:t xml:space="preserve"> 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  <w:tab/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>г.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: , 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-..'&lt;пск па.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 ч4. оф.2-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-&lt;&lt;"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ш| -й: зо. тнр. 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!'•"«'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 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>ч/”’&gt;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«РИК-КОМ» (далее - Заявитель) на действия заказчика - Управления Федеральной службы государственной регистрации, кадастра и картографии по Архангельской области и Ненецкому автономному округу (далее - Заказчик), при проведении запроса котировок в электронной форме на право заключения государственного контракта на приобретение принтеров (в сфере ИКТ) (извещение №0124100002424000044).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76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жалобы: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при заключении контракта с Обществом с ограниченной ответственностью «РИК-КОМ».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20.01.2025 №01-29/0004.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11.12.2024 Заказчиком на официальном сайте единой информационной системы в сфере закупок в сети Интернет Ьйр://хакирк1.§оу.ги размещено извещение №0124100002424000044 о проведении запроса котировок в электронной форме на право заключения государственного контракта на приобретение принтеров (в сфере ИКТ)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государственного контракта - 84 300,00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 АО «Единая электронная торговая площадка».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28.12.2024 по результатам проведенной процедуры запроса котировок в электронной форме победителем был признан участник закупки - Общество с ограниченной ответственностью «РИК-КОМ», предложивший цену контракта 50 625,00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подведения итогов определения поставщика (подрядчика, исполнителя) №0124100002424000044 размещен на официальном сайте 28.12.2024.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своей жалобе указывает, что при направлении проекта контракта на подписание победителю Заказчиком не опубликован проект контракта на сайте электронной торговой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51 ФЗ "О контрактной системе" не позднее двух рабочих дней, следующих за днем размещения в единой информационной системе протоколов, указанных в части 1 данной статьи,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50 ФЗ «О контрактной системе» заключение контракта по результатам проведения электронного запроса котировок осуществляется в порядке, установленном статьей 51 ФЗ «О контрактной системе», с учетом следующих особенностей: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дня, следующего за днем размещения в единой информационной системе протокола подведения итогов определения поставщика (подрядчика, исполнителя);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79" w:right="797" w:bottom="654" w:left="122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 закупки, с которым заключается контракт, осуществляет действия, предусмотренные пунктом 1 части 3 статьи 51 указанного Федерального закона, не позднее одного рабочего дня, следующего за днем осуществления заказчиком действий в соответствии с пунктом 1 данной части;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2506345</wp:posOffset>
            </wp:positionH>
            <wp:positionV relativeFrom="margin">
              <wp:posOffset>6195060</wp:posOffset>
            </wp:positionV>
            <wp:extent cx="3169920" cy="16643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9920" cy="16643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осуществляет действия, предусмотренные пунктом 1 части 4 статьи 51 указанного Федерального закона, не позднее одного рабочего дня, следующего за днем осуществления участником закупки, с которым заключается контракт, действий в соответствии с пунктом 2 настоящей части, но не ранее чем через два рабочих дня, следующих за днем размещения в единой информационной системе протокола подведения итогов определения поставщика (подрядчика, исполнителя);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действий, предусмотренных пунктом 2 части 2, пунктом 2 части 3, пунктами 2 и 3 части 4 статьи 51 указанного Федерального закона, не допускается.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09.01.2025 Заказчиком осуществлены действия, предусмотренные пунктом 1 части 2 статьи 51 ФЗ «О контрактной системе», а именно - на официальном сайте единой информационной системы без подписи Заказчика размещен проект контракта для его подписания победителем запроса котировок - Обществом с ограниченной ответственностью «РИК-КОМ».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материалам дела проект контракта не был размещен на сайте оператора электронной площадки АО «Единая электронная торговая площадка» в связи с техническими неполадками.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09.01.2025 на сайте оператора электронной площадки АО «Единая электронная торговая площадка» (ИЦр8://уАУ^.го8еког§.пд) произошел сбой, что привело к внеплановым техническим работам и отсутствию возможности участникам закупок и заказчикам осуществлять работу на сайте оператора торговой площадки в период с 09.01.2025 по 16.01.2025.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действяих Заказчтка нарушений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Внеплановая проверка данной закупки проведена в рамках рассмотрения дела №РНП-29-2 (029/06/104-7/2025). Заказчик признан нарушившим подпункт "а" пункта 2 части 6 статьи 51, пункт 1 части 7 статьи 51 ФЗ «О контрактной системе», выдано предписание об устраненнии выявленных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52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Общества с ограниченной ответственностью «РИК-КОМ» необоснованной.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5702" w:val="left"/>
          <w:tab w:pos="7312" w:val="left"/>
        </w:tabs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  <w:tab/>
      </w:r>
      <w:r>
        <w:rPr>
          <w:color w:val="2220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/ </w:t>
      </w:r>
      <w:r>
        <w:rPr>
          <w:color w:val="5B5B78"/>
          <w:spacing w:val="0"/>
          <w:w w:val="100"/>
          <w:position w:val="0"/>
          <w:shd w:val="clear" w:color="auto" w:fill="auto"/>
          <w:lang w:val="ru-RU" w:eastAsia="ru-RU" w:bidi="ru-RU"/>
        </w:rPr>
        <w:t>/</w:t>
        <w:tab/>
      </w:r>
      <w:r>
        <w:rPr>
          <w:color w:val="222055"/>
          <w:spacing w:val="0"/>
          <w:w w:val="100"/>
          <w:position w:val="0"/>
          <w:shd w:val="clear" w:color="auto" w:fill="auto"/>
          <w:lang w:val="ru-RU" w:eastAsia="ru-RU" w:bidi="ru-RU"/>
        </w:rPr>
        <w:t>//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51790" distL="114300" distR="114300" simplePos="0" relativeHeight="125829380" behindDoc="0" locked="0" layoutInCell="1" allowOverlap="1">
                <wp:simplePos x="0" y="0"/>
                <wp:positionH relativeFrom="page">
                  <wp:posOffset>5787390</wp:posOffset>
                </wp:positionH>
                <wp:positionV relativeFrom="margin">
                  <wp:posOffset>6897370</wp:posOffset>
                </wp:positionV>
                <wp:extent cx="1158875" cy="1739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8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О/С.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5.69999999999999pt;margin-top:543.10000000000002pt;width:91.25pt;height:13.700000000000001pt;z-index:-125829373;mso-wrap-distance-left:9.pt;mso-wrap-distance-right:9.pt;mso-wrap-distance-bottom:27.6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О/С.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1790" distB="0" distL="414020" distR="113665" simplePos="0" relativeHeight="125829382" behindDoc="0" locked="0" layoutInCell="1" allowOverlap="1">
                <wp:simplePos x="0" y="0"/>
                <wp:positionH relativeFrom="page">
                  <wp:posOffset>6087110</wp:posOffset>
                </wp:positionH>
                <wp:positionV relativeFrom="margin">
                  <wp:posOffset>7249160</wp:posOffset>
                </wp:positionV>
                <wp:extent cx="859790" cy="1739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9.30000000000001pt;margin-top:570.80000000000007pt;width:67.700000000000003pt;height:13.700000000000001pt;z-index:-125829371;mso-wrap-distance-left:32.600000000000001pt;mso-wrap-distance-top:27.699999999999999pt;mso-wrap-distance-right:8.950000000000001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Ю.А. Поддубная</w:t>
      </w:r>
    </w:p>
    <w:sectPr>
      <w:headerReference w:type="default" r:id="rId11"/>
      <w:footnotePr>
        <w:pos w:val="pageBottom"/>
        <w:numFmt w:val="decimal"/>
        <w:numRestart w:val="continuous"/>
      </w:footnotePr>
      <w:pgSz w:w="11900" w:h="16840"/>
      <w:pgMar w:top="779" w:right="797" w:bottom="654" w:left="1229" w:header="0" w:footer="22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6701790</wp:posOffset>
              </wp:positionH>
              <wp:positionV relativeFrom="page">
                <wp:posOffset>337185</wp:posOffset>
              </wp:positionV>
              <wp:extent cx="212725" cy="939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2725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42/3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27.70000000000005pt;margin-top:26.550000000000001pt;width:16.75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42/3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868045</wp:posOffset>
              </wp:positionH>
              <wp:positionV relativeFrom="page">
                <wp:posOffset>485775</wp:posOffset>
              </wp:positionV>
              <wp:extent cx="606933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9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350000000000009pt;margin-top:38.25pt;width:477.90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6727190</wp:posOffset>
              </wp:positionH>
              <wp:positionV relativeFrom="page">
                <wp:posOffset>323215</wp:posOffset>
              </wp:positionV>
              <wp:extent cx="217170" cy="10731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717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®3/3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29.70000000000005pt;margin-top:25.449999999999999pt;width:17.100000000000001pt;height:8.4499999999999993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®3/3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450850</wp:posOffset>
              </wp:positionV>
              <wp:extent cx="6080760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07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35.5pt;width:478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055"/>
      <w:sz w:val="26"/>
      <w:szCs w:val="2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055"/>
      <w:sz w:val="17"/>
      <w:szCs w:val="17"/>
      <w:u w:val="none"/>
    </w:rPr>
  </w:style>
  <w:style w:type="character" w:customStyle="1" w:styleId="CharStyle11">
    <w:name w:val="Основной текст (6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22">
    <w:name w:val="Основной текст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055"/>
      <w:sz w:val="10"/>
      <w:szCs w:val="10"/>
      <w:u w:val="none"/>
    </w:rPr>
  </w:style>
  <w:style w:type="character" w:customStyle="1" w:styleId="CharStyle25">
    <w:name w:val="Колонтитул (2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32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055"/>
      <w:sz w:val="26"/>
      <w:szCs w:val="2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055"/>
      <w:sz w:val="17"/>
      <w:szCs w:val="17"/>
      <w:u w:val="none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line="262" w:lineRule="auto"/>
      <w:ind w:firstLine="45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055"/>
      <w:sz w:val="10"/>
      <w:szCs w:val="10"/>
      <w:u w:val="none"/>
    </w:rPr>
  </w:style>
  <w:style w:type="paragraph" w:customStyle="1" w:styleId="Style24">
    <w:name w:val="Колонтитул (2)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spacing w:after="220" w:line="252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/Relationships>
</file>