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46" w:bottom="1216" w:left="546" w:header="0" w:footer="3" w:gutter="551"/>
          <w:pgNumType w:start="1"/>
          <w:cols w:space="720"/>
          <w:noEndnote/>
          <w:titlePg/>
          <w:rtlGutter w:val="0"/>
          <w:docGrid w:linePitch="360"/>
        </w:sectPr>
      </w:pPr>
    </w:p>
    <w:p>
      <w:pPr>
        <w:widowControl w:val="0"/>
        <w:spacing w:line="1" w:lineRule="exact"/>
      </w:pPr>
      <w:r>
        <mc:AlternateContent>
          <mc:Choice Requires="wps">
            <w:drawing>
              <wp:anchor distT="0" distB="789305" distL="114300" distR="132715" simplePos="0" relativeHeight="125829378" behindDoc="0" locked="0" layoutInCell="1" allowOverlap="1">
                <wp:simplePos x="0" y="0"/>
                <wp:positionH relativeFrom="margin">
                  <wp:posOffset>25400</wp:posOffset>
                </wp:positionH>
                <wp:positionV relativeFrom="paragraph">
                  <wp:posOffset>12700</wp:posOffset>
                </wp:positionV>
                <wp:extent cx="2578735" cy="1755775"/>
                <wp:wrapSquare wrapText="right"/>
                <wp:docPr id="9" name="Shape 9"/>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1о34@Га8.§оу.ги</w:t>
                            </w:r>
                          </w:p>
                          <w:p>
                            <w:pPr>
                              <w:pStyle w:val="Style8"/>
                              <w:keepNext w:val="0"/>
                              <w:keepLines w:val="0"/>
                              <w:widowControl w:val="0"/>
                              <w:shd w:val="clear" w:color="auto" w:fill="auto"/>
                              <w:tabs>
                                <w:tab w:leader="underscore" w:pos="1762" w:val="left"/>
                                <w:tab w:leader="underscore" w:pos="3931" w:val="left"/>
                              </w:tabs>
                              <w:bidi w:val="0"/>
                              <w:spacing w:before="0" w:after="160"/>
                              <w:ind w:left="0" w:right="0" w:firstLine="0"/>
                              <w:jc w:val="left"/>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 id="_x0000_s1035" type="#_x0000_t202" style="position:absolute;margin-left:2.pt;margin-top:1.pt;width:203.05000000000001pt;height:138.25pt;z-index:-125829375;mso-wrap-distance-left:9.pt;mso-wrap-distance-right:10.450000000000001pt;mso-wrap-distance-bottom:62.149999999999999pt;mso-position-horizontal-relative:margin" filled="f" stroked="f">
                <v:textbox inset="0,0,0,0">
                  <w:txbxContent>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1о34@Га8.§оу.ги</w:t>
                      </w:r>
                    </w:p>
                    <w:p>
                      <w:pPr>
                        <w:pStyle w:val="Style8"/>
                        <w:keepNext w:val="0"/>
                        <w:keepLines w:val="0"/>
                        <w:widowControl w:val="0"/>
                        <w:shd w:val="clear" w:color="auto" w:fill="auto"/>
                        <w:tabs>
                          <w:tab w:leader="underscore" w:pos="1762" w:val="left"/>
                          <w:tab w:leader="underscore" w:pos="3931" w:val="left"/>
                        </w:tabs>
                        <w:bidi w:val="0"/>
                        <w:spacing w:before="0" w:after="160"/>
                        <w:ind w:left="0" w:right="0" w:firstLine="0"/>
                        <w:jc w:val="left"/>
                      </w:pPr>
                      <w:r>
                        <w:rPr>
                          <w:b w:val="0"/>
                          <w:bCs w:val="0"/>
                          <w:spacing w:val="0"/>
                          <w:w w:val="100"/>
                          <w:position w:val="0"/>
                          <w:shd w:val="clear" w:color="auto" w:fill="auto"/>
                          <w:lang w:val="ru-RU" w:eastAsia="ru-RU" w:bidi="ru-RU"/>
                        </w:rPr>
                        <w:tab/>
                        <w:t xml:space="preserve"> №</w:t>
                        <w:tab/>
                      </w:r>
                    </w:p>
                  </w:txbxContent>
                </v:textbox>
                <w10:wrap type="square" side="right" anchorx="margin"/>
              </v:shape>
            </w:pict>
          </mc:Fallback>
        </mc:AlternateContent>
      </w:r>
      <w:r>
        <w:drawing>
          <wp:anchor distT="2364740" distB="0" distL="117475" distR="114300" simplePos="0" relativeHeight="125829380" behindDoc="0" locked="0" layoutInCell="1" allowOverlap="1">
            <wp:simplePos x="0" y="0"/>
            <wp:positionH relativeFrom="margin">
              <wp:posOffset>28575</wp:posOffset>
            </wp:positionH>
            <wp:positionV relativeFrom="paragraph">
              <wp:posOffset>2377440</wp:posOffset>
            </wp:positionV>
            <wp:extent cx="2597150" cy="18288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margin">
                  <wp:posOffset>25400</wp:posOffset>
                </wp:positionH>
                <wp:positionV relativeFrom="paragraph">
                  <wp:posOffset>1941830</wp:posOffset>
                </wp:positionV>
                <wp:extent cx="2578735" cy="130810"/>
                <wp:wrapNone/>
                <wp:docPr id="13" name="Shape 13"/>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9" type="#_x0000_t202" style="position:absolute;margin-left:2.pt;margin-top:152.90000000000001pt;width:203.05000000000001pt;height:10.300000000000001pt;z-index:251657729;mso-wrap-distance-left:0;mso-wrap-distance-right:0;mso-position-horizontal-relative:margin"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v:textbox>
                <w10:wrap anchorx="margin"/>
              </v:shape>
            </w:pict>
          </mc:Fallback>
        </mc:AlternateContent>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ИП Амиров Алим Рамилевич</w:t>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ул. Льва Толстого, д. 14, кв. 13, г. Белая Калитва, Ростовская область, 347041</w:t>
      </w:r>
    </w:p>
    <w:p>
      <w:pPr>
        <w:pStyle w:val="Style13"/>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хакирк1-тед@уапдех.ги</w:t>
      </w:r>
    </w:p>
    <w:p>
      <w:pPr>
        <w:pStyle w:val="Style13"/>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ГБУЗ "Волгоградская областная клиническая больница № 1" ул. Ангарская, д. 13, Волгоград, 400081</w:t>
      </w:r>
    </w:p>
    <w:p>
      <w:pPr>
        <w:pStyle w:val="Style13"/>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VокЪ1@Vо1дапе^.^и;к8@VокЪ1.^и</w:t>
      </w:r>
    </w:p>
    <w:p>
      <w:pPr>
        <w:pStyle w:val="Style13"/>
        <w:keepNext w:val="0"/>
        <w:keepLines w:val="0"/>
        <w:widowControl w:val="0"/>
        <w:shd w:val="clear" w:color="auto" w:fill="auto"/>
        <w:bidi w:val="0"/>
        <w:spacing w:before="0" w:after="0" w:line="240" w:lineRule="auto"/>
        <w:ind w:left="1020" w:right="0" w:firstLine="0"/>
        <w:jc w:val="both"/>
        <w:rPr>
          <w:sz w:val="28"/>
          <w:szCs w:val="28"/>
        </w:rPr>
      </w:pPr>
      <w:r>
        <w:rPr>
          <w:color w:val="000000"/>
          <w:spacing w:val="0"/>
          <w:w w:val="100"/>
          <w:position w:val="0"/>
          <w:sz w:val="28"/>
          <w:szCs w:val="28"/>
          <w:shd w:val="clear" w:color="auto" w:fill="auto"/>
          <w:lang w:val="ru-RU" w:eastAsia="ru-RU" w:bidi="ru-RU"/>
        </w:rPr>
        <w:t>Комитет по регулированию контрактной системы в сфере закупок Волгоградской области</w:t>
      </w:r>
    </w:p>
    <w:p>
      <w:pPr>
        <w:pStyle w:val="Style13"/>
        <w:keepNext w:val="0"/>
        <w:keepLines w:val="0"/>
        <w:widowControl w:val="0"/>
        <w:shd w:val="clear" w:color="auto" w:fill="auto"/>
        <w:bidi w:val="0"/>
        <w:spacing w:before="0" w:after="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ул. Новороссийская, д. 15, Волгоград, 400066</w:t>
      </w:r>
    </w:p>
    <w:p>
      <w:pPr>
        <w:pStyle w:val="Style13"/>
        <w:keepNext w:val="0"/>
        <w:keepLines w:val="0"/>
        <w:widowControl w:val="0"/>
        <w:shd w:val="clear" w:color="auto" w:fill="auto"/>
        <w:bidi w:val="0"/>
        <w:spacing w:before="0" w:after="28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до8xакаг@Vо1дапе^.^и</w:t>
      </w:r>
    </w:p>
    <w:p>
      <w:pPr>
        <w:pStyle w:val="Style13"/>
        <w:keepNext w:val="0"/>
        <w:keepLines w:val="0"/>
        <w:widowControl w:val="0"/>
        <w:shd w:val="clear" w:color="auto" w:fill="auto"/>
        <w:bidi w:val="0"/>
        <w:spacing w:before="0" w:after="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АО "ЭТС"</w:t>
      </w:r>
    </w:p>
    <w:p>
      <w:pPr>
        <w:pStyle w:val="Style13"/>
        <w:keepNext w:val="0"/>
        <w:keepLines w:val="0"/>
        <w:widowControl w:val="0"/>
        <w:shd w:val="clear" w:color="auto" w:fill="auto"/>
        <w:bidi w:val="0"/>
        <w:spacing w:before="0" w:after="116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ул. Тестовская, д. 10, Москва, 123112 аиШ1ог8@е1рх.ги</w:t>
      </w:r>
    </w:p>
    <w:p>
      <w:pPr>
        <w:pStyle w:val="Style13"/>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w:t>
        <w:br/>
        <w:t>по делу № 034/06/105-35/2025</w:t>
        <w:br/>
        <w:t>о нарушении законодательства о контрактной системе</w:t>
      </w:r>
    </w:p>
    <w:p>
      <w:pPr>
        <w:pStyle w:val="Style13"/>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margin">
                  <wp:posOffset>5718810</wp:posOffset>
                </wp:positionH>
                <wp:positionV relativeFrom="paragraph">
                  <wp:posOffset>12700</wp:posOffset>
                </wp:positionV>
                <wp:extent cx="758825" cy="234950"/>
                <wp:wrapSquare wrapText="left"/>
                <wp:docPr id="15" name="Shape 15"/>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41" type="#_x0000_t202" style="position:absolute;margin-left:450.30000000000001pt;margin-top:1.pt;width:59.75pt;height:18.5pt;z-index:-125829372;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margin"/>
              </v:shape>
            </w:pict>
          </mc:Fallback>
        </mc:AlternateContent>
      </w:r>
      <w:r>
        <w:rPr>
          <w:color w:val="000000"/>
          <w:spacing w:val="0"/>
          <w:w w:val="100"/>
          <w:position w:val="0"/>
          <w:shd w:val="clear" w:color="auto" w:fill="auto"/>
          <w:lang w:val="ru-RU" w:eastAsia="ru-RU" w:bidi="ru-RU"/>
        </w:rPr>
        <w:t>23 января 2025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 ИП Амирова А.Р., ГБУЗ «Волгоградская областная клиническая больница № 1», комитета по регулированию контрактной системы в сфере закупок Волгоградской области,</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ИП Амирова А.Р. (далее - Заявитель) вх. № 335/25 от 17.01.2025 на положения извещения при проведении электронного аукциона «Поставка системы эндоскопической хирургической электромеханической, ввод в эксплуатацию медицинских изделий, обучение правилам эксплуатации специалистов, эксплуатирующих медицинские изделия» (номер извещения 0129200005324004349),</w:t>
      </w:r>
    </w:p>
    <w:p>
      <w:pPr>
        <w:pStyle w:val="Style16"/>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\у\у\у./акирк1.доу.ги (далее - ЕИС) 27.12.2024 было размещено извещение о проведении электронного аукциона «Поставка системы эндоскопической хирургической электромеханической, ввод в эксплуатацию медицинских изделий, обучение правилам эксплуатации специалистов, эксплуатирующих медицинские изделия» (номер извещения 0129200005324004349, далее - Извещение). Заказчик - ГБУЗ «Волгоградская областная клиническая больница № 1» (далее - Заказчик). Начальная (максимальная) цена контракта - 25 210 000,00 рублей.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Заказчиком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путем установления в Извещении требований, не предусмотренных действующими ГОСТами.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указал на то, что в нарушение положений Закона о контрактной системе Заказчиком в Извещении были установлены требования, не предусмотренные действующими ГОСТами, а именно:</w:t>
      </w:r>
    </w:p>
    <w:p>
      <w:pPr>
        <w:pStyle w:val="Style13"/>
        <w:keepNext w:val="0"/>
        <w:keepLines w:val="0"/>
        <w:widowControl w:val="0"/>
        <w:numPr>
          <w:ilvl w:val="0"/>
          <w:numId w:val="1"/>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эндоскопа: Режим - флюоресцентной визуализации; эндоскопической визуализации в ближнем инфракрасном диапазоне.</w:t>
      </w:r>
    </w:p>
    <w:p>
      <w:pPr>
        <w:pStyle w:val="Style13"/>
        <w:keepNext w:val="0"/>
        <w:keepLines w:val="0"/>
        <w:widowControl w:val="0"/>
        <w:numPr>
          <w:ilvl w:val="0"/>
          <w:numId w:val="1"/>
        </w:numPr>
        <w:shd w:val="clear" w:color="auto" w:fill="auto"/>
        <w:tabs>
          <w:tab w:pos="17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эндоскопа: формат видеосигнала: 1280 х 1024 (110); 720р; 1080Р.</w:t>
      </w:r>
    </w:p>
    <w:p>
      <w:pPr>
        <w:pStyle w:val="Style13"/>
        <w:keepNext w:val="0"/>
        <w:keepLines w:val="0"/>
        <w:widowControl w:val="0"/>
        <w:numPr>
          <w:ilvl w:val="0"/>
          <w:numId w:val="1"/>
        </w:numPr>
        <w:shd w:val="clear" w:color="auto" w:fill="auto"/>
        <w:tabs>
          <w:tab w:pos="17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эндоскопа: видеовыход ^Ласк'о; ^VI.</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Заявителем не указано в нарушение каких конкретно национальных стандартов и/или их конкретных положений, Заказчиком в Извещении неправомерно были установлены вышеуказанные требования.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Кроме того, Комиссией установлено, что Заказчиком в Извещении не установлено требование о необходимости применения того или иного национального стандарта и/или его конкретных положений при осуществлении данной закупки, что повлекло бы к </w:t>
      </w:r>
      <w:r>
        <w:rPr>
          <w:color w:val="000000"/>
          <w:spacing w:val="0"/>
          <w:w w:val="100"/>
          <w:position w:val="0"/>
          <w:shd w:val="clear" w:color="auto" w:fill="auto"/>
          <w:lang w:val="ru-RU" w:eastAsia="ru-RU" w:bidi="ru-RU"/>
        </w:rPr>
        <w:t>необходимости применения положений указанного национального стандарта при осуществлении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Заявителем не указаны национальные стандарты, которые являются частью законодательства РФ о национальной системе стандартизации, обязательного к применению, в нарушение положений которых Заказчиком в Извещении были установлены требования, не предусмотренные данными национальными стандартами.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5 ч. 4 ст. 105 Закона о контрактной системе при проведении электронных процедур жалоба может быть подана в контрольные органы в сфере закупок исключительно с использованием единой информационной системы путем формирования и размещения в этой системе указание на обжалуемые действия (бездействие) субъекта (субъектов) контроля, доводы жалобы.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 4 ст. 106 Закона о контрактной системе установлено, что к жалобе прикладываются информация и документы, подтверждающие ее обоснованность.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антимонопольном органе Законом о контрактной системе возлагается на лицо, подавшее жалобу на соответствующие действия (бездействие) Заказчика.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Документального подтверждения довода жалобы, с точки зрения достаточности представленных доказательств, которые бы позволили сделать вывод о нарушении законодательства о контрактной системе действиями Заказчика, Заявителем не представлено.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довод жалобы не нашел своего подтверждения и является необоснованным.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следующему доводу жалобы Заказчиком нарушены положения Закона о контрактной системе путем неприменения соответствующей позиции каталога товаров, работ, услуг для обеспечения государственных и муниципальных нужд (далее - КТРУ, Каталог).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 использование при составлении описания объекта </w:t>
      </w:r>
      <w:r>
        <w:rPr>
          <w:color w:val="000000"/>
          <w:spacing w:val="0"/>
          <w:w w:val="100"/>
          <w:position w:val="0"/>
          <w:shd w:val="clear" w:color="auto" w:fill="auto"/>
          <w:lang w:val="ru-RU" w:eastAsia="ru-RU" w:bidi="ru-RU"/>
        </w:rPr>
        <w:t>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6 ст. 23 Закона о контрактной системе порядок формирования и ведения в единой информационной системе КТРУ,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заказчики обязаны применять информацию, включенную в позицию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наименование товара, работы, услуги, единицы измерения количества товара, объема выполняемой работы, оказываемой услуги (при наличии), 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объектом закупки является поставка системы эндоскопической хирургической электромеханической, ввод в эксплуатацию медицинских изделий, обучение правилам эксплуатации специалистов, эксплуатирующих медицинские изделия с кодом ОКПД2 - 26.60.12.129 «Приборы и аппараты для функциональной диагностики прочие, применяемые в медицинских целях, не включенные в другие группировки». Код позиции КТРУ не установлен.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Заявителя, Заказчиком в нарушение требований Закона о контрактной системе не применен соответствующий код позиции КТРУ 26.60.12.119</w:t>
        <w:softHyphen/>
        <w:t>00000745 «Система эндоскопическая хирургическая электромеханическая».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Заказчика, в Каталоге отсутствует позиция КТРУ, которая соответствует описанию объекта настоящей закупки, при этом позиция КТРУ 26.60.12.119-00000745 «Система эндоскопическая хирургическая электромеханическая» с указанными техническими характеристиками не обеспечивает соответствие потребности Заказчика в закупке необходимого товара, в связи с чем в закупке был установлен код ОКПД2 - 26.60.12.129 «Приборы и аппараты для функциональной диагностики прочие, применяемые в медицинских целях, не включенные в другие группировки» и в силу п. 7 Правил Заказчик осуществил описание товара в соответствии с требованиями ст. 33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части неприменения кода позиции КТРУ 26.60.12.119-00000745 «Система эндоскопическая хирургическая электромеханическая» Заказчик пояснил, что данный код </w:t>
      </w:r>
      <w:r>
        <w:rPr>
          <w:color w:val="000000"/>
          <w:spacing w:val="0"/>
          <w:w w:val="100"/>
          <w:position w:val="0"/>
          <w:shd w:val="clear" w:color="auto" w:fill="auto"/>
          <w:lang w:val="ru-RU" w:eastAsia="ru-RU" w:bidi="ru-RU"/>
        </w:rPr>
        <w:t xml:space="preserve">предназначен для закупки «Система эндоскопическая хирургическая электромеханическая» со следующим описанием: </w:t>
      </w:r>
      <w:r>
        <w:rPr>
          <w:color w:val="334059"/>
          <w:spacing w:val="0"/>
          <w:w w:val="100"/>
          <w:position w:val="0"/>
          <w:sz w:val="20"/>
          <w:szCs w:val="20"/>
          <w:shd w:val="clear" w:color="auto" w:fill="auto"/>
          <w:lang w:val="ru-RU" w:eastAsia="ru-RU" w:bidi="ru-RU"/>
        </w:rPr>
        <w:t>«</w:t>
      </w:r>
      <w:r>
        <w:rPr>
          <w:color w:val="000000"/>
          <w:spacing w:val="0"/>
          <w:w w:val="100"/>
          <w:position w:val="0"/>
          <w:shd w:val="clear" w:color="auto" w:fill="auto"/>
          <w:lang w:val="ru-RU" w:eastAsia="ru-RU" w:bidi="ru-RU"/>
        </w:rPr>
        <w:t>Набор электромеханических устройств с питанием от сети переменного тока, предназначенный для использования при проведении эндоскопических хирургических процедур (например, лапароскопии) с помощью ручных жестких эндоскопических инструментов, которые имеют шарнирные и механически управляемые наконечники с электроприводом, предназначенные для облегчения хирургических манипуляций. Обычно состоит из блока управления, который подает питание через соединительные кабели к отдельным наконечникам (ручкам) и нескольких сменных эндоскопических инструментов с шарнирным соединением (например, роликовым, поворотным) для выполнения манипуляций с тканями, лигирования, наложения швов и разрезания. Система подключается к устройству визуального отображения и обычно устанавливается на тележку (каталку) для обеспечения мобильности».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Заказчик указал, что позиция КТРУ 26.60.12.119-00000745 «Система эндоскопическая хирургическая электромеханическая» в рассматриваемом случае не применима, поскольку код позиции КТРУ 26.60.12.119-00000745 «Система эндоскопическая хирургическая электромеханическая» не соответствует техническим характеристикам закупаемого им медицинского оборудования, поскольку в описание данного кода позиции КТРУ не входят такие приборы и оборудование, которые по описанию объекта закупки должны составлять единый закупаемый функциональный комплекс для проведения гинекологических операций: аппарат для нагнетания (гистеропомпа), кабель светопроводящий, система диатермической электрохирургии эндоскопическая и т.д.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Заказчик пояснил, что закупаемое им медицинское изделие является иным товаром в отличие от указанного в коде позиции КТРУ 26.60.12.119-00000745 «Система эндоскопическая хирургическая электромеханическая».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Заявитель доказательства, опровергающие доводы Заказчика не представил.</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довод жалобы не нашел своего подтверждения и является необоснованным.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следующему доводу жалобы Заказчиком нарушены положения Закона о контрактной системе при установлении «неоднозначных» требований к объекту закупки. По мнению Заявителя, установленным Заказчиком в Извещении характеристикам закупаемого товара не соответствует товар ни одного из производителей соответствующего медицинского изделия, имеющих действующее регистрационное удостоверение и допущенных к обращению на территории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Допускается использование в описании объекта закупки указания на товарный знак в следующих случаях: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Системное толкование норм Закона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Законодательство в сфере осуществления закупок допускает самостоятельное формулирование заказчиком объекта закупки исходя из потребностей последнего. В частности, при описании товара заказчик вправе указывать качественные параметры объекта закупки, которые являются определяющими для него.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следует отметить, что действующее законодательство о контрактной системе Российской Федерации не ограничивает право заказчика приобретать товары, работы и услуги в соответствии со своими нуждами и спецификой деятельности. Заказчик не имеет возможность установить требования к техническим, качественным характеристикам товара, которые удовлетворяли бы всех возможных участников закупок для государственных и муниципальных нужд. При этом Закон о контрактной системе не обязывает Заказчика при определении характеристик поставляемого товара в Извещении устанавливать такие характеристики, которые соответствовали бы всем существующим типам, видам, маркам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Обзора судебной практики применения законодательства Российской Федерации о контрактной системе в сфере закупок товаров, работ, услуг для обеспечения </w:t>
      </w:r>
      <w:r>
        <w:rPr>
          <w:color w:val="000000"/>
          <w:spacing w:val="0"/>
          <w:w w:val="100"/>
          <w:position w:val="0"/>
          <w:shd w:val="clear" w:color="auto" w:fill="auto"/>
          <w:lang w:val="ru-RU" w:eastAsia="ru-RU" w:bidi="ru-RU"/>
        </w:rPr>
        <w:t>государственных и муниципальных нужд, утвержденного Президиумом Верховного Суда РФ от 28.06.2017 года,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была представлена сравнительная таблица с характеристиками товаров различных производителей, из которой следует, что ни одно из указанных медицинских изделий, имеющих действующее регистрационное удостоверение и допущенных к обращению на территории Российской Федерации, не соответствует характеристикам, установленным Заказчиком в Извещении.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Заказчик в части довода об ограничении конкуренции пояснил, что характеристикам, установленным в Извещении, соответствуют товары как минимум нескольких производителей, а именно: </w:t>
      </w:r>
      <w:r>
        <w:rPr>
          <w:color w:val="000000"/>
          <w:spacing w:val="0"/>
          <w:w w:val="100"/>
          <w:position w:val="0"/>
          <w:sz w:val="24"/>
          <w:szCs w:val="24"/>
          <w:shd w:val="clear" w:color="auto" w:fill="auto"/>
          <w:lang w:val="ru-RU" w:eastAsia="ru-RU" w:bidi="ru-RU"/>
        </w:rPr>
        <w:t>«</w:t>
      </w:r>
      <w:r>
        <w:rPr>
          <w:color w:val="000000"/>
          <w:spacing w:val="0"/>
          <w:w w:val="100"/>
          <w:position w:val="0"/>
          <w:shd w:val="clear" w:color="auto" w:fill="auto"/>
          <w:lang w:val="ru-RU" w:eastAsia="ru-RU" w:bidi="ru-RU"/>
        </w:rPr>
        <w:t>Системы видеоэндоскопические с принадлежностями» производства «Страйкер Эндоскопи», подразделение «Страйкер Корпорейшн» и «Оборудование эндоскопическое Каг1 ^1ог/ для визуализации и обработки изображения с принадлежностями» производства «Карл Шторц СЕ и Ко. КГ».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Однако Заявитель не согласился с данным утверждением Заказчика, представил информацию с указанием положений эксплуатационной документации на указанные медицинские изделия,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опубликованной на сайте Федеральной службы по надзору в сфере здравоохранения, исходя из которой товар </w:t>
      </w:r>
      <w:r>
        <w:rPr>
          <w:color w:val="000000"/>
          <w:spacing w:val="0"/>
          <w:w w:val="100"/>
          <w:position w:val="0"/>
          <w:sz w:val="24"/>
          <w:szCs w:val="24"/>
          <w:shd w:val="clear" w:color="auto" w:fill="auto"/>
          <w:lang w:val="ru-RU" w:eastAsia="ru-RU" w:bidi="ru-RU"/>
        </w:rPr>
        <w:t>«</w:t>
      </w:r>
      <w:r>
        <w:rPr>
          <w:color w:val="000000"/>
          <w:spacing w:val="0"/>
          <w:w w:val="100"/>
          <w:position w:val="0"/>
          <w:shd w:val="clear" w:color="auto" w:fill="auto"/>
          <w:lang w:val="ru-RU" w:eastAsia="ru-RU" w:bidi="ru-RU"/>
        </w:rPr>
        <w:t xml:space="preserve">Системы видеоэндоскопические с принадлежностями» производства «Страйкер Эндоскопи», подразделение «Страйкер Корпорейшн» не соответствует характеристикам, установленным в Извещении, в том числе в части характеристики «Видеокамера эндоскопа: режим, флюоресцентной визуализации, эндоскопической визуализации в ближнем инфракрасном диапазоне», а товар «Оборудование эндоскопическое Каг1 81ог/ для визуализации и обработки изображения с принадлежностями» производства «Карл Шторц СЕ и Ко. КГ» также не соответствует характеристикам, установленным в Извещении, в том числе в части характеристики </w:t>
      </w:r>
      <w:r>
        <w:rPr>
          <w:color w:val="000000"/>
          <w:spacing w:val="0"/>
          <w:w w:val="100"/>
          <w:position w:val="0"/>
          <w:sz w:val="24"/>
          <w:szCs w:val="24"/>
          <w:shd w:val="clear" w:color="auto" w:fill="auto"/>
          <w:lang w:val="ru-RU" w:eastAsia="ru-RU" w:bidi="ru-RU"/>
        </w:rPr>
        <w:t>«</w:t>
      </w:r>
      <w:r>
        <w:rPr>
          <w:color w:val="000000"/>
          <w:spacing w:val="0"/>
          <w:w w:val="100"/>
          <w:position w:val="0"/>
          <w:shd w:val="clear" w:color="auto" w:fill="auto"/>
          <w:lang w:val="ru-RU" w:eastAsia="ru-RU" w:bidi="ru-RU"/>
        </w:rPr>
        <w:t>Видеокамера эндоскопа: дисплей, Сенсорный».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безусловных доказательств, опровергающих доводы Заявителя, Заказчиком не было представлено.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не была подтверждена информация, представленная Заказчиком о том, что характеристикам, установленным в Извещении, соответствуют товары как минимум нескольких производителей.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настоящем случае, установлено, что совокупностью установленных Заказчиком характеристик товара в Извещении ограничено количество участников закупки, при этом Заказчиком не представлено надлежащее обоснование необходимости применения указанной совокупности характеристик объекта закупки, которые приводят к ограничению количества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довод жалобы нашел свое подтверждение и является обоснованным.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Заказчик признается нарушившим ч. 2 ст. 8, п. 1 ч. 1 ст. 33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выявленного нарушения Комиссией принято решение о выдаче обязательного для исполнения предписания об устранении выявленных нарушений.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жалобе также просит в целях рассмотрения настоящего дела запросить в Федеральной службе по надзору в сфере здравоохранения полное регистрационное досье на системы эндоскопической визуализации с действующим регистрационным удостоверением.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Заявителем не указано каким образом указанные действия могут повлиять на результат рассмотрения данной жалобы в сфере контроля за соблюдением законодательства о контрактной системе в сфере закупок, в том числе с учетом установленного порядка и процедуры рассмотрения жалобы, а также с учетом уже имеющихся сведений, размещенных на официальном сайте Федеральной службы по надзору в сфере здравоохранения, в связи с чем ходатайство Заявителя удовлетворению не подлежит.</w:t>
      </w:r>
    </w:p>
    <w:p>
      <w:pPr>
        <w:pStyle w:val="Style13"/>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numPr>
          <w:ilvl w:val="0"/>
          <w:numId w:val="3"/>
        </w:numPr>
        <w:shd w:val="clear" w:color="auto" w:fill="auto"/>
        <w:tabs>
          <w:tab w:pos="10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Амирова А.Р. вх. № 335/25 от 17.01.2025 на положения извещения при проведении электронного аукциона «Поставка системы эндоскопической хирургической электромеханической, ввод в эксплуатацию медицинских изделий, обучение правилам эксплуатации специалистов, эксплуатирующих медицинские изделия» (номер извещения 0129200005324004349) частично обоснованной в части довода об ограничении конкуренции.</w:t>
      </w:r>
    </w:p>
    <w:p>
      <w:pPr>
        <w:pStyle w:val="Style13"/>
        <w:keepNext w:val="0"/>
        <w:keepLines w:val="0"/>
        <w:widowControl w:val="0"/>
        <w:numPr>
          <w:ilvl w:val="0"/>
          <w:numId w:val="3"/>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 ГБУЗ «Волгоградская областная клиническая больница № 1» - нарушившим ч. 2 ст. 8,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10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Комиссии по осуществлению закупок, Уполномоченному органу,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13"/>
        <w:keepNext w:val="0"/>
        <w:keepLines w:val="0"/>
        <w:widowControl w:val="0"/>
        <w:numPr>
          <w:ilvl w:val="0"/>
          <w:numId w:val="3"/>
        </w:numPr>
        <w:shd w:val="clear" w:color="auto" w:fill="auto"/>
        <w:tabs>
          <w:tab w:pos="103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 Заказчика.</w:t>
      </w:r>
    </w:p>
    <w:p>
      <w:pPr>
        <w:pStyle w:val="Style13"/>
        <w:keepNext w:val="0"/>
        <w:keepLines w:val="0"/>
        <w:widowControl w:val="0"/>
        <w:shd w:val="clear" w:color="auto" w:fill="auto"/>
        <w:bidi w:val="0"/>
        <w:spacing w:before="0" w:after="1340" w:line="240" w:lineRule="auto"/>
        <w:ind w:left="0" w:right="0" w:firstLine="720"/>
        <w:jc w:val="both"/>
      </w:pPr>
      <w:r>
        <w:rPr>
          <w:color w:val="000000"/>
          <w:spacing w:val="0"/>
          <w:w w:val="100"/>
          <w:position w:val="0"/>
          <w:shd w:val="clear" w:color="auto" w:fill="auto"/>
          <w:lang w:val="ru-RU" w:eastAsia="ru-RU" w:bidi="ru-RU"/>
        </w:rPr>
        <w:t>Решение и предписание Комиссии могут быть обжалованы в Арбитражный суд Волгоградской области в течение трех месяцев со дня его принятия.</w:t>
      </w:r>
    </w:p>
    <w:p>
      <w:pPr>
        <w:pStyle w:val="Style20"/>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Исп.Ивченко Н.И. тел.8(8442) 24-22-64</w:t>
      </w:r>
    </w:p>
    <w:sectPr>
      <w:footnotePr>
        <w:pos w:val="pageBottom"/>
        <w:numFmt w:val="decimal"/>
        <w:numRestart w:val="continuous"/>
      </w:footnotePr>
      <w:type w:val="continuous"/>
      <w:pgSz w:w="11900" w:h="16840"/>
      <w:pgMar w:top="1608" w:right="533" w:bottom="1018" w:left="533" w:header="0" w:footer="3" w:gutter="567"/>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365760</wp:posOffset>
              </wp:positionH>
              <wp:positionV relativeFrom="page">
                <wp:posOffset>10241280</wp:posOffset>
              </wp:positionV>
              <wp:extent cx="560705" cy="100330"/>
              <wp:wrapNone/>
              <wp:docPr id="5" name="Shape 5"/>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2025-441</w:t>
                          </w:r>
                        </w:p>
                      </w:txbxContent>
                    </wps:txbx>
                    <wps:bodyPr wrap="none" lIns="0" tIns="0" rIns="0" bIns="0">
                      <a:spAutoFit/>
                    </wps:bodyPr>
                  </wps:wsp>
                </a:graphicData>
              </a:graphic>
            </wp:anchor>
          </w:drawing>
        </mc:Choice>
        <mc:Fallback>
          <w:pict>
            <v:shape id="_x0000_s1031" type="#_x0000_t202" style="position:absolute;margin-left:28.800000000000001pt;margin-top:806.39999999999998pt;width:44.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560705" cy="100330"/>
              <wp:wrapNone/>
              <wp:docPr id="7" name="Shape 7"/>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2025-441</w:t>
                          </w:r>
                        </w:p>
                      </w:txbxContent>
                    </wps:txbx>
                    <wps:bodyPr wrap="none" lIns="0" tIns="0" rIns="0" bIns="0">
                      <a:spAutoFit/>
                    </wps:bodyPr>
                  </wps:wsp>
                </a:graphicData>
              </a:graphic>
            </wp:anchor>
          </w:drawing>
        </mc:Choice>
        <mc:Fallback>
          <w:pict>
            <v:shape id="_x0000_s1033" type="#_x0000_t202" style="position:absolute;margin-left:57.pt;margin-top:776.20000000000005pt;width:44.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3566160</wp:posOffset>
              </wp:positionH>
              <wp:positionV relativeFrom="page">
                <wp:posOffset>722630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80.80000000000001pt;margin-top:56.89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2"/>
      <w:szCs w:val="32"/>
      <w:u w:val="none"/>
    </w:rPr>
  </w:style>
  <w:style w:type="character" w:customStyle="1" w:styleId="CharStyle21">
    <w:name w:val="Основной текст (4)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8">
    <w:name w:val="Основной текст (3)"/>
    <w:basedOn w:val="Normal"/>
    <w:link w:val="CharStyle9"/>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11">
    <w:name w:val="Подпись к картинке"/>
    <w:basedOn w:val="Normal"/>
    <w:link w:val="CharStyle12"/>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1"/>
    <w:basedOn w:val="Normal"/>
    <w:link w:val="CharStyle17"/>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0">
    <w:name w:val="Основной текст (4)"/>
    <w:basedOn w:val="Normal"/>
    <w:link w:val="CharStyle21"/>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