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584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b/>
          <w:bCs/>
          <w:color w:val="18176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18176F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К. ЛиГкне.ма, 2, г. Архангельск, 163000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Тел.: (8182) 20-73-21, факс: (8182) 21-54-45</w:t>
        <w:br/>
        <w:t>е-таП: Го29@€а5-еоу.ги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2160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Дело № 7оз-25 029/06/42-20/2025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ГБУЗ Архангельской области "Первая городская клиническая больница им. Е.Е. Волосевич"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163001, г. Архангельск, ул. Суворова,! Е-шай: рока1Иоуа.пу@ша11.ги, оМ2ак@1181.ги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ООО «РТС-тендер»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 Шевченко, д. 23А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Е-шаП: ко@118-1епс1ег.ги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«Краснодарская Многопрофильная Компания»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350000, г Краснодар, ул. им. Ленина, дом 65, помещение 37/1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774" w:right="838" w:bottom="689" w:left="1255" w:header="0" w:footer="3" w:gutter="0"/>
          <w:pgNumType w:start="1"/>
          <w:cols w:num="2" w:space="720" w:equalWidth="0">
            <w:col w:w="4824" w:space="727"/>
            <w:col w:w="425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тГо@ктк-тес1.ги</w:t>
      </w:r>
    </w:p>
    <w:p>
      <w:pPr>
        <w:widowControl w:val="0"/>
        <w:spacing w:line="200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8" w:right="0" w:bottom="6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/>
        <w:keepLines/>
        <w:widowControl w:val="0"/>
        <w:shd w:val="clear" w:color="auto" w:fill="auto"/>
        <w:tabs>
          <w:tab w:pos="8078" w:val="left"/>
        </w:tabs>
        <w:bidi w:val="0"/>
        <w:spacing w:before="0" w:after="160" w:line="240" w:lineRule="auto"/>
        <w:ind w:left="0" w:right="0" w:firstLine="18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23 января 2025 года</w:t>
        <w:tab/>
        <w:t>г. Архангельск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64" w:lineRule="auto"/>
        <w:ind w:left="2420" w:right="0" w:hanging="22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tabs>
          <w:tab w:pos="2401" w:val="left"/>
        </w:tabs>
        <w:bidi w:val="0"/>
        <w:spacing w:before="0" w:after="0" w:line="240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Поддубная Ю.А.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8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представителей от;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Заявителя: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МоскаеваЕ.А. (решение от 11.07.2022 №1);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8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Заказчика: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Зобова В.В. (доверенность от 21.01.2025), Покатиловой Н.В. (доверенность от 21.01.2025), Дядюн Е.С. (доверенность от 21.01.2025), Дитятьевой О.П. (доверенность от 28.08.2024).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 января 2025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Общества с ограниченной ответственностью «Краснодарская Многопрофильная Компания» (далее - Заявитель) на действия заказчика - ГБУЗ Архангельской области "Первая городская клиническая больница им. Е.Е. Волосевич" (далее - Заказчик), при проведении запроса котировок в электронной форме на право заключения контракта на поставку расходного материала (извещение №0324300031924000448).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Содержание жалобы: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Обжалуются действия Заказчика в связи с размещением извещения, несоответствующего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22.01.2025 № б/н.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27.12.2024 Заказчиком на официальном сайте единой информационной системы в сфере закупок в сети Интернет Й11р://2акирк1.ёоу.ги размещено извещение №0324300031924000448 о проведении запроса котировок в электронной форме на право заключения контракта на поставку расходного материала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Максимальное значение цены контракта - 1 499 975,00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7" w:val="left"/>
          <w:tab w:pos="3582" w:val="left"/>
          <w:tab w:pos="715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своей жалобе указывает, что Заказчик намеренно разделил свою потребность на семь идентичных закупок (извещения №№ 0324300031924000446, 0324300031924000452,</w:t>
        <w:tab/>
        <w:t>0324300031924000450,</w:t>
        <w:tab/>
        <w:t>0324300031924000451,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0324300031924000447, 0324300031924000448, 0324300031924000449) с целью избежать применения Постановления №620 от 19.04.2021.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24 ФЗ «О контрактной системе» заказчики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 самостоятельно принимает решение о выборе способа определения поставщика или об осуществлении закупки у единственного поставщика с учетом положений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конкурентные способы осуществления закупки закреплены в части 2 статьи 24 ФЗ «О контрактной системе». В частности, к ним относятся: конкурсы (открытый конкурс в электронной форме, закрытый конкурс в электронной форме), аукционы (открытый аукцион в электронной форме, закрытый аукцион, закрытый аукцион в электронной форме), запрос котировок в электронной форме.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29 статьи 34 ФЗ «О контрактной системе»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Постановления Правительства РФ от 19.04.2021 № 620 "О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нужд" (далее - Постановление № 620)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8" w:right="831" w:bottom="602" w:left="126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пояснениям Заказчика объем денежных средств, направленных на закупку медицинских изделий в предшествующем году (2023 год)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1.8 части I "Общие положения"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№567 от 02.10.2013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(далее - Методические рекомендации) при определении НМЦК рекомендуется исходить из необходимости достижения заданных целей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Иных требований по формированию НМЦК и выбору способа определения поставщика (подрядчика, исполнителя) нормы ФЗ «О контрактной системе» не содержат.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разделил свою потребность в расходных материалах на несколько закупок с целью обеспечения своевременных и бесперебойных поставок расходных материалов.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при выборе способа определения поставщика и определении НМЦК Заказчик руководствовался нормами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своей жалобе указывает, что Заказчик неправомерно применил ОКПД2 32.50.13.190 и НКМИ 318950 к позиции «Устройство для наложения внутренних швов», так как НКМИ 318950 относится к ОКПД2 32.50.50.190, по которому подлежит применению Постановление №3500-р от 08.12.2021.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положений пункта 5 части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ФЗ «О контрактной системе»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560"/>
        <w:jc w:val="both"/>
        <w:sectPr>
          <w:headerReference w:type="default" r:id="rId9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08" w:right="831" w:bottom="602" w:left="1263" w:header="0" w:footer="17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7 Правил использования КТРУ, утвержденных Постановлением Правительства РФ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определено,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ФЗ «О контрактной системе» и в качестве кода каталога товара, работы, услуги, на которые в каталоге отсутствует соответствующая позиция, указывается код такого товара, работы,</w:t>
      </w:r>
    </w:p>
    <w:p>
      <w:pPr>
        <w:widowControl w:val="0"/>
        <w:spacing w:line="1" w:lineRule="exact"/>
      </w:pPr>
      <w:r>
        <w:drawing>
          <wp:anchor distT="313055" distB="153035" distL="0" distR="93980" simplePos="0" relativeHeight="125829378" behindDoc="0" locked="0" layoutInCell="1" allowOverlap="1">
            <wp:simplePos x="0" y="0"/>
            <wp:positionH relativeFrom="page">
              <wp:posOffset>4199255</wp:posOffset>
            </wp:positionH>
            <wp:positionV relativeFrom="paragraph">
              <wp:posOffset>7408545</wp:posOffset>
            </wp:positionV>
            <wp:extent cx="2609215" cy="1139825"/>
            <wp:wrapTight wrapText="left">
              <wp:wrapPolygon>
                <wp:start x="7131" y="0"/>
                <wp:lineTo x="13524" y="0"/>
                <wp:lineTo x="13524" y="8414"/>
                <wp:lineTo x="12843" y="8414"/>
                <wp:lineTo x="12843" y="17566"/>
                <wp:lineTo x="21600" y="17566"/>
                <wp:lineTo x="21600" y="21600"/>
                <wp:lineTo x="0" y="21600"/>
                <wp:lineTo x="0" y="867"/>
                <wp:lineTo x="4294" y="867"/>
                <wp:lineTo x="4294" y="304"/>
                <wp:lineTo x="7131" y="304"/>
                <wp:lineTo x="7131" y="0"/>
              </wp:wrapPolygon>
            </wp:wrapTight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609215" cy="1139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5659755</wp:posOffset>
                </wp:positionH>
                <wp:positionV relativeFrom="paragraph">
                  <wp:posOffset>7095490</wp:posOffset>
                </wp:positionV>
                <wp:extent cx="1243330" cy="19875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1987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быть обжаловано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45.65000000000003pt;margin-top:558.70000000000005pt;width:97.900000000000006pt;height:15.6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быть обжаловано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5744845</wp:posOffset>
                </wp:positionH>
                <wp:positionV relativeFrom="paragraph">
                  <wp:posOffset>7813040</wp:posOffset>
                </wp:positionV>
                <wp:extent cx="1154430" cy="18732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443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52.35000000000002pt;margin-top:615.20000000000005pt;width:90.900000000000006pt;height:14.7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О.С. Малышева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6042025</wp:posOffset>
                </wp:positionH>
                <wp:positionV relativeFrom="paragraph">
                  <wp:posOffset>8512810</wp:posOffset>
                </wp:positionV>
                <wp:extent cx="859790" cy="18732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О.Е. Титова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5.75pt;margin-top:670.30000000000007pt;width:67.700000000000003pt;height:14.7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О.Е. Титова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58775" distL="116840" distR="4485005" simplePos="0" relativeHeight="125829379" behindDoc="0" locked="0" layoutInCell="1" allowOverlap="1">
                <wp:simplePos x="0" y="0"/>
                <wp:positionH relativeFrom="page">
                  <wp:posOffset>848360</wp:posOffset>
                </wp:positionH>
                <wp:positionV relativeFrom="paragraph">
                  <wp:posOffset>7806690</wp:posOffset>
                </wp:positionV>
                <wp:extent cx="1684655" cy="18986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4655" cy="18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66.799999999999997pt;margin-top:614.70000000000005pt;width:132.65000000000001pt;height:14.950000000000001pt;z-index:-125829374;mso-wrap-distance-left:9.2000000000000011pt;mso-wrap-distance-right:353.15000000000003pt;mso-wrap-distance-bottom:28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9885" distB="11430" distL="114300" distR="4951730" simplePos="0" relativeHeight="125829381" behindDoc="0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8156575</wp:posOffset>
                </wp:positionV>
                <wp:extent cx="1220470" cy="187325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047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66.599999999999994pt;margin-top:642.25pt;width:96.100000000000009pt;height:14.75pt;z-index:-125829372;mso-wrap-distance-left:9.pt;mso-wrap-distance-top:27.550000000000001pt;mso-wrap-distance-right:389.90000000000003pt;mso-wrap-distance-bottom:0.900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4330" distB="0" distL="4999355" distR="114300" simplePos="0" relativeHeight="125829383" behindDoc="0" locked="0" layoutInCell="1" allowOverlap="1">
                <wp:simplePos x="0" y="0"/>
                <wp:positionH relativeFrom="page">
                  <wp:posOffset>5730875</wp:posOffset>
                </wp:positionH>
                <wp:positionV relativeFrom="paragraph">
                  <wp:posOffset>8161020</wp:posOffset>
                </wp:positionV>
                <wp:extent cx="1172845" cy="19431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2845" cy="194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Ю.А. Поддубная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51.25pt;margin-top:642.60000000000002pt;width:92.350000000000009pt;height:15.300000000000001pt;z-index:-125829370;mso-wrap-distance-left:393.65000000000003pt;mso-wrap-distance-top:27.900000000000002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Ю.А. Поддубная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824" w:val="left"/>
        </w:tabs>
        <w:bidi w:val="0"/>
        <w:spacing w:before="0" w:after="0" w:line="271" w:lineRule="auto"/>
        <w:ind w:left="0" w:right="0" w:firstLine="36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$4/4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рассмотрения настоящей жалобы установлено, что Заказчиком закупаются расходные материалы, используемые при проведении хирургических операций.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в КТРУ отсутствует позиция «Устройство для наложения внутренних швов».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Заказчиком в позиции «Устройство для наложения внутренних швов» указан код ОКПД2 32.50.13.190 "Инструменты и приспособления, применяемые в медицинских целях, прочие, не включенные в другие группировки".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Заказчик установил ОКПД2 32.50.13.190 в соответствии с регистрационным удостоверением (ФСЗ 2008/02324 от 28.01.2020) на аналогичное медицинское изделие, которое уже приобреталось и использовалось Заказчиком.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заказчики вправе выбрать тот код ОКПД2, который соответствует его потребностям. В ФЗ «О контрактной системе» и ином законодательстве не содержится положений, ограничивающих возможность Заказчика в самостоятельном определении кода ОКПД2 проводимых закупок. Определение кода ОКПД2 осуществляется заказчиком путем отнесения объекта закупки к соответствующему коду ОКПД2 с учетом специфики закупки. При этом,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материалы дела, Комиссия Архангельского УФАС России приходит к выводу, что код ОКПД2 Заказчиком определен правомерно и при этом не нарушены положения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РЕШИЛА: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Общества с ограниченной ответственностью «Краснодарская Многопрофильная Компания»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може, в судебном порядке в течение трех месяцев со дня егс/прцнятия.</w:t>
      </w:r>
    </w:p>
    <w:sectPr>
      <w:headerReference w:type="default" r:id="rId12"/>
      <w:footnotePr>
        <w:pos w:val="pageBottom"/>
        <w:numFmt w:val="decimal"/>
        <w:numRestart w:val="continuous"/>
      </w:footnotePr>
      <w:pgSz w:w="11900" w:h="16840"/>
      <w:pgMar w:top="462" w:right="996" w:bottom="462" w:left="1332" w:header="34" w:footer="3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5793740</wp:posOffset>
              </wp:positionH>
              <wp:positionV relativeFrom="page">
                <wp:posOffset>328295</wp:posOffset>
              </wp:positionV>
              <wp:extent cx="1120140" cy="1460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2014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56" w:val="right"/>
                              <w:tab w:pos="176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ab/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^2/4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6.19999999999999pt;margin-top:25.850000000000001pt;width:88.200000000000003pt;height:11.5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56" w:val="right"/>
                        <w:tab w:pos="176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ab/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u w:val="single"/>
                        <w:shd w:val="clear" w:color="auto" w:fill="auto"/>
                        <w:lang w:val="ru-RU" w:eastAsia="ru-RU" w:bidi="ru-RU"/>
                      </w:rPr>
                      <w:t>^2/4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867410</wp:posOffset>
              </wp:positionH>
              <wp:positionV relativeFrom="page">
                <wp:posOffset>480695</wp:posOffset>
              </wp:positionV>
              <wp:extent cx="606679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67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299999999999997pt;margin-top:37.850000000000001pt;width:477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1710690</wp:posOffset>
              </wp:positionH>
              <wp:positionV relativeFrom="page">
                <wp:posOffset>299085</wp:posOffset>
              </wp:positionV>
              <wp:extent cx="5219065" cy="1511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19065" cy="151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21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ab/>
                            <w:t>53/4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34.69999999999999pt;margin-top:23.550000000000001pt;width:410.94999999999999pt;height:11.9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21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ab/>
                      <w:t>53/4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440055</wp:posOffset>
              </wp:positionV>
              <wp:extent cx="607631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pt;margin-top:34.649999999999999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53C"/>
      <w:sz w:val="18"/>
      <w:szCs w:val="18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53C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CharStyle17">
    <w:name w:val="Колонтитул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after="300"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53C"/>
      <w:sz w:val="18"/>
      <w:szCs w:val="18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1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7153C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ind w:firstLine="9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paragraph" w:customStyle="1" w:styleId="Style16">
    <w:name w:val="Колонтитул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image" Target="media/image2.png"/><Relationship Id="rId11" Type="http://schemas.openxmlformats.org/officeDocument/2006/relationships/image" Target="media/image2.png" TargetMode="External"/><Relationship Id="rId12" Type="http://schemas.openxmlformats.org/officeDocument/2006/relationships/header" Target="header4.xml"/></Relationships>
</file>