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1C197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C197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706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Либкнехга, 2, г. Архангельск, 163000 Тел.: (8182) 20-73-21, факс (8182)21-54-45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127375" cy="58547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27375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5оз-25 029/06/42-18/2025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ГБУЗ Архангельской области ”Первая городская клиническая больница им. Е.Е. Волосевич”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163001, г. Архангельск, ул. Суворова,! Е-шай: рокаШоуа.пу@таП.ги, о!с1хак@Н81.ги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Оператор электронной площадки;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 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ко@г!8-1епс1ег.ги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«Краснодарская Многопрофильная Компания»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350000, г Краснодар, ул. им. Ленина, дом 65, помещение 37/1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headerReference w:type="even" r:id="rId10"/>
          <w:head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772" w:right="843" w:bottom="713" w:left="1287" w:header="0" w:footer="3" w:gutter="0"/>
          <w:pgNumType w:start="1"/>
          <w:cols w:num="2" w:space="720" w:equalWidth="0">
            <w:col w:w="4921" w:space="594"/>
            <w:col w:w="42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Е-таИ: тГо@ктк-тес1.ги</w:t>
      </w:r>
    </w:p>
    <w:p>
      <w:pPr>
        <w:widowControl w:val="0"/>
        <w:spacing w:line="208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0" w:bottom="8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/>
        <w:keepLines/>
        <w:widowControl w:val="0"/>
        <w:shd w:val="clear" w:color="auto" w:fill="auto"/>
        <w:tabs>
          <w:tab w:pos="8038" w:val="left"/>
        </w:tabs>
        <w:bidi w:val="0"/>
        <w:spacing w:before="0" w:after="160" w:line="240" w:lineRule="auto"/>
        <w:ind w:left="0" w:right="0" w:firstLine="14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января 2025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59" w:lineRule="auto"/>
        <w:ind w:left="2380" w:right="0" w:hanging="2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2361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присутствии представителей от;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Москаева Е.А. (решение от 11.07.2022 №1);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4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Зобова В.В. (доверенность от 21.01.2025), Покатиловой Н.В. (доверенность от 21.01.2025), Дядюн Е.С. (доверенность от 21.01.2025), Дитятьевой О.П. (доверенность от 28.08.2024).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«Краснодарская Многопрофильная Компания» (далее - Заявитель) на действия заказчика - ГБУЗ Архангельской области "Первая городская клиническая больница им. Е.Е. Волосевич" (далее - Заказчик), при проведении запроса котировок в электронной форме на право заключения контракта на поставку расходного материала (извещение №0324300031924000449).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22.01.2025 № б/н.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Заказчиком на официальном сайте единой информационной системы в сфере закупок в сети Интернет Ьпр://2акирк1.§0У.ги размещено извещение №0324300031924000449 о проведении запроса котировок в электронной форме на право заключения контракта на поставку расходного материала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Максимальное значение цены контракта - 1 499 979,00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78" w:val="left"/>
          <w:tab w:pos="7153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в своей жалобе указывает, что Заказчик намеренно разделил свою потребность на семь идентичных закупок (извещения №№ 0324300031924000446, 0324300031924000452,</w:t>
        <w:tab/>
        <w:t>0324300031924000450,</w:t>
        <w:tab/>
        <w:t>0324300031924000451,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0324300031924000447, 0324300031924000448, 0324300031924000449) с целью избежать применения Постановления №620 от 19.04.2021.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24 ФЗ «О контрактной системе»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самостоятельно принимает решение о выборе способа определения поставщика или об осуществлении закупки у единственного поставщика с учетом положений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конкурентные способы осуществления закупки закреплены в части 2 статьи 24 ФЗ «О контрактной системе». В частности, к ним относятся: конкурсы (открытый конкурс в электронной форме, закрытый конкурс в электронной форме), аукционы (открытый аукцион в электронной форме, закрытый аукцион, закрытый аукцион в электронной форме), запрос котировок в электронной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29 статьи 34 ФЗ «О контрактной системе»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Правительства РФ от 19.04.2021 № 620 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861" w:bottom="818" w:left="126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млн.рублей;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 объем денежных средств, направленных на закупку медицинских изделий в предшествующем году (2023 год)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1.8 части I "Общие положения"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 при определении НМЦК рекомендуется исходить из необходимости достижения заданных целей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требований по формированию НМЦК и выбору способа определения поставщика (подрядчика, исполнителя) нормы ФЗ «О контрактной системе»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разделил свою потребность в расходных материалах на несколько закупок с целью обеспечения своевременных и бесперебойных поставок расходных материалов.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выборе способа определения поставщика и определении НМЦК Заказчик руководствовался нормами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Заявитель в своей жалобе указывает, что Заказчик неправомерно применил ОКПД2 32.50.13.190 и НКМИ 318950 к позиции «Устройство для наложения внутренних швов», так как НКМИ 318950 относится к ОКПД2 32.50.50.190, по которому подлежит применению Постановление №3500-р от 08.12.2021.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положений пункта 5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Правил использования КТРУ, утвержденных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определено,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ФЗ «О контрактной системе» и в качестве кода каталога товара, работы, услуги, на которые в каталоге отсутствует соответствующая позиция, указывается код такого товара, работы,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настоящей жалобы установлено, что Заказчиком закупаются расходные материалы, используемые при проведении хирургических операций.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КТРУ отсутствует позиция «Устройство для наложения внутренних швов».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Заказчиком в позиции «Устройство для наложения внутренних швов» указан код ОКПД2 32.50.13.190 "Инструменты и приспособления, применяемые в медицинских целях, прочие, не включенные в другие группировки".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Заказчик установил ОКПД2 32.50.13.190 в соответствии с регистрационным удостоверением (ФСЗ 2008/02324 от 28.01.2020) на аналогичное медицинское изделие, которое уже приобреталось и использовалось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заказчики вправе выбрать тот код ОКПД2, который соответствует его потребностям. В ФЗ «О контрактной системе» и ином законодательстве не содержится положений, ограничивающих возможность Заказчика в самостоятельном определении кода ОКПД2 проводимых закупок. Определение кода ОКПД2 осуществляется заказчиком путем отнесения объекта закупки к соответствующему коду ОКПД2 с учетом специфики закупки. При этом,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приходит к выводу, что код ОКПД2 Заказчиком определен правомерно и при этом не нарушены положения ФЗ «О контрактной системе».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«Краснодарская Многопрофильная Компания» необоснованной.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7758" w:val="left"/>
        </w:tabs>
        <w:bidi w:val="0"/>
        <w:spacing w:before="0" w:after="0"/>
        <w:ind w:left="0" w:right="0" w:firstLine="0"/>
        <w:jc w:val="both"/>
      </w:pPr>
      <w:r>
        <w:drawing>
          <wp:anchor distT="0" distB="0" distL="0" distR="850265" simplePos="0" relativeHeight="125829378" behindDoc="0" locked="0" layoutInCell="1" allowOverlap="1">
            <wp:simplePos x="0" y="0"/>
            <wp:positionH relativeFrom="page">
              <wp:posOffset>4117975</wp:posOffset>
            </wp:positionH>
            <wp:positionV relativeFrom="paragraph">
              <wp:posOffset>152400</wp:posOffset>
            </wp:positionV>
            <wp:extent cx="1957070" cy="1390015"/>
            <wp:wrapTight wrapText="left">
              <wp:wrapPolygon>
                <wp:start x="7251" y="0"/>
                <wp:lineTo x="18695" y="0"/>
                <wp:lineTo x="18695" y="4398"/>
                <wp:lineTo x="21600" y="4398"/>
                <wp:lineTo x="21600" y="4859"/>
                <wp:lineTo x="21398" y="4859"/>
                <wp:lineTo x="21398" y="16209"/>
                <wp:lineTo x="18316" y="16209"/>
                <wp:lineTo x="18316" y="21600"/>
                <wp:lineTo x="4775" y="21600"/>
                <wp:lineTo x="4775" y="16209"/>
                <wp:lineTo x="0" y="16209"/>
                <wp:lineTo x="0" y="4788"/>
                <wp:lineTo x="7251" y="4788"/>
                <wp:lineTo x="7251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957070" cy="1390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6033770</wp:posOffset>
                </wp:positionH>
                <wp:positionV relativeFrom="paragraph">
                  <wp:posOffset>808355</wp:posOffset>
                </wp:positionV>
                <wp:extent cx="889000" cy="18732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900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5.10000000000002pt;margin-top:63.649999999999999pt;width:70.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. Малышева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обж-</w:t>
      </w:r>
      <w:r>
        <w:rPr>
          <w:i w:val="0"/>
          <w:i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ab/>
        <w:t xml:space="preserve">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порядке в течение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874395</wp:posOffset>
                </wp:positionH>
                <wp:positionV relativeFrom="paragraph">
                  <wp:posOffset>508000</wp:posOffset>
                </wp:positionV>
                <wp:extent cx="1687195" cy="18986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7195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8.850000000000009pt;margin-top:40.pt;width:132.84999999999999pt;height:14.9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26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349885" distL="114300" distR="114300" simplePos="0" relativeHeight="125829381" behindDoc="0" locked="0" layoutInCell="1" allowOverlap="1">
                <wp:simplePos x="0" y="0"/>
                <wp:positionH relativeFrom="page">
                  <wp:posOffset>5755005</wp:posOffset>
                </wp:positionH>
                <wp:positionV relativeFrom="paragraph">
                  <wp:posOffset>12700</wp:posOffset>
                </wp:positionV>
                <wp:extent cx="1177290" cy="18986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7290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К1А. Поддубная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3.15000000000003pt;margin-top:1.pt;width:92.700000000000003pt;height:14.950000000000001pt;z-index:-125829372;mso-wrap-distance-left:9.pt;mso-wrap-distance-right:9.pt;mso-wrap-distance-bottom:27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К1А. Поддубная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635" distL="425450" distR="120650" simplePos="0" relativeHeight="125829383" behindDoc="0" locked="0" layoutInCell="1" allowOverlap="1">
                <wp:simplePos x="0" y="0"/>
                <wp:positionH relativeFrom="page">
                  <wp:posOffset>6066155</wp:posOffset>
                </wp:positionH>
                <wp:positionV relativeFrom="paragraph">
                  <wp:posOffset>364490</wp:posOffset>
                </wp:positionV>
                <wp:extent cx="859790" cy="18732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65000000000003pt;margin-top:28.699999999999999pt;width:67.700000000000003pt;height:14.75pt;z-index:-125829370;mso-wrap-distance-left:33.5pt;mso-wrap-distance-top:27.699999999999999pt;mso-wrap-distance-right:9.5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  <w:bookmarkEnd w:id="16"/>
    </w:p>
    <w:sectPr>
      <w:headerReference w:type="default" r:id="rId14"/>
      <w:headerReference w:type="even" r:id="rId15"/>
      <w:footnotePr>
        <w:pos w:val="pageBottom"/>
        <w:numFmt w:val="decimal"/>
        <w:numRestart w:val="continuous"/>
      </w:footnotePr>
      <w:type w:val="continuous"/>
      <w:pgSz w:w="11900" w:h="16840"/>
      <w:pgMar w:top="808" w:right="861" w:bottom="818" w:left="126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868680</wp:posOffset>
              </wp:positionH>
              <wp:positionV relativeFrom="page">
                <wp:posOffset>318770</wp:posOffset>
              </wp:positionV>
              <wp:extent cx="6037580" cy="16256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7580" cy="162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В2/4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8.400000000000006pt;margin-top:25.100000000000001pt;width:475.40000000000003pt;height:12.8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u w:val="single"/>
                        <w:shd w:val="clear" w:color="auto" w:fill="auto"/>
                        <w:lang w:val="ru-RU" w:eastAsia="ru-RU" w:bidi="ru-RU"/>
                      </w:rPr>
                      <w:t>В2/4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462915</wp:posOffset>
              </wp:positionV>
              <wp:extent cx="606488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48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36.450000000000003pt;width:477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868680</wp:posOffset>
              </wp:positionH>
              <wp:positionV relativeFrom="page">
                <wp:posOffset>318770</wp:posOffset>
              </wp:positionV>
              <wp:extent cx="6037580" cy="16256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7580" cy="162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В2/4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68.400000000000006pt;margin-top:25.100000000000001pt;width:475.40000000000003pt;height:12.80000000000000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u w:val="single"/>
                        <w:shd w:val="clear" w:color="auto" w:fill="auto"/>
                        <w:lang w:val="ru-RU" w:eastAsia="ru-RU" w:bidi="ru-RU"/>
                      </w:rPr>
                      <w:t>В2/4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462915</wp:posOffset>
              </wp:positionV>
              <wp:extent cx="606488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48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36.450000000000003pt;width:477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873125</wp:posOffset>
              </wp:positionH>
              <wp:positionV relativeFrom="page">
                <wp:posOffset>300990</wp:posOffset>
              </wp:positionV>
              <wp:extent cx="6057900" cy="14859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7900" cy="1485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^3/4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8.75pt;margin-top:23.699999999999999pt;width:477.pt;height:11.700000000000001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u w:val="single"/>
                        <w:shd w:val="clear" w:color="auto" w:fill="auto"/>
                        <w:lang w:val="ru-RU" w:eastAsia="ru-RU" w:bidi="ru-RU"/>
                      </w:rPr>
                      <w:t>^3/4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875665</wp:posOffset>
              </wp:positionH>
              <wp:positionV relativeFrom="page">
                <wp:posOffset>441325</wp:posOffset>
              </wp:positionV>
              <wp:extent cx="6073775" cy="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50000000000003pt;margin-top:34.75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840"/>
      <w:sz w:val="18"/>
      <w:szCs w:val="18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4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840"/>
      <w:sz w:val="18"/>
      <w:szCs w:val="18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ind w:firstLine="7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spacing w:after="260" w:line="257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3.png"/><Relationship Id="rId13" Type="http://schemas.openxmlformats.org/officeDocument/2006/relationships/image" Target="media/image3.png" TargetMode="External"/><Relationship Id="rId14" Type="http://schemas.openxmlformats.org/officeDocument/2006/relationships/header" Target="header4.xml"/><Relationship Id="rId15" Type="http://schemas.openxmlformats.org/officeDocument/2006/relationships/header" Target="header5.xml"/></Relationships>
</file>