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4649470</wp:posOffset>
                </wp:positionH>
                <wp:positionV relativeFrom="paragraph">
                  <wp:posOffset>106680</wp:posOffset>
                </wp:positionV>
                <wp:extent cx="1868170" cy="1572895"/>
                <wp:wrapSquare wrapText="bothSides"/>
                <wp:docPr id="3" name="Shape 3"/>
                <a:graphic xmlns:a="http://schemas.openxmlformats.org/drawingml/2006/main">
                  <a:graphicData uri="http://schemas.microsoft.com/office/word/2010/wordprocessingShape">
                    <wps:wsp>
                      <wps:cNvSpPr txBox="1"/>
                      <wps:spPr>
                        <a:xfrm>
                          <a:ext cx="1868170" cy="1572895"/>
                        </a:xfrm>
                        <a:prstGeom prst="rect"/>
                        <a:noFill/>
                      </wps:spPr>
                      <wps:txbx>
                        <w:txbxContent>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br/>
                              <w:t>АНТИМОНОПОЛЬНОЙ СЛУЖБА</w:t>
                            </w:r>
                          </w:p>
                          <w:p>
                            <w:pPr>
                              <w:pStyle w:val="Style5"/>
                              <w:keepNext w:val="0"/>
                              <w:keepLines w:val="0"/>
                              <w:widowControl w:val="0"/>
                              <w:shd w:val="clear" w:color="auto" w:fill="auto"/>
                              <w:bidi w:val="0"/>
                              <w:spacing w:before="0" w:after="260" w:line="259" w:lineRule="auto"/>
                              <w:ind w:left="0" w:right="0" w:firstLine="0"/>
                              <w:jc w:val="center"/>
                            </w:pPr>
                            <w:r>
                              <w:rPr>
                                <w:spacing w:val="0"/>
                                <w:w w:val="100"/>
                                <w:position w:val="0"/>
                                <w:shd w:val="clear" w:color="auto" w:fill="auto"/>
                                <w:lang w:val="ru-RU" w:eastAsia="ru-RU" w:bidi="ru-RU"/>
                              </w:rPr>
                              <w:t>Федеральной антимонопольной</w:t>
                              <w:br/>
                              <w:t>службалбн Коми Республиками</w:t>
                              <w:br/>
                              <w:t>ВЕСЬКОДЛАНШ</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е-шаИ: 1о11@Га8.§оу.ги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10000000000002pt;margin-top:8.4000000000000004pt;width:147.09999999999999pt;height:123.85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w:t>
                        <w:br/>
                        <w:t>АНТИМОНОПОЛЬНОЙ СЛУЖБА</w:t>
                      </w:r>
                    </w:p>
                    <w:p>
                      <w:pPr>
                        <w:pStyle w:val="Style5"/>
                        <w:keepNext w:val="0"/>
                        <w:keepLines w:val="0"/>
                        <w:widowControl w:val="0"/>
                        <w:shd w:val="clear" w:color="auto" w:fill="auto"/>
                        <w:bidi w:val="0"/>
                        <w:spacing w:before="0" w:after="260" w:line="259" w:lineRule="auto"/>
                        <w:ind w:left="0" w:right="0" w:firstLine="0"/>
                        <w:jc w:val="center"/>
                      </w:pPr>
                      <w:r>
                        <w:rPr>
                          <w:spacing w:val="0"/>
                          <w:w w:val="100"/>
                          <w:position w:val="0"/>
                          <w:shd w:val="clear" w:color="auto" w:fill="auto"/>
                          <w:lang w:val="ru-RU" w:eastAsia="ru-RU" w:bidi="ru-RU"/>
                        </w:rPr>
                        <w:t>Федеральной антимонопольной</w:t>
                        <w:br/>
                        <w:t>службалбн Коми Республиками</w:t>
                        <w:br/>
                        <w:t>ВЕСЬКОДЛАНШ</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 21-41-29</w:t>
                        <w:br/>
                        <w:t>е-шаИ: 1о11@Га8.§оу.ги</w:t>
                      </w:r>
                    </w:p>
                  </w:txbxContent>
                </v:textbox>
                <w10:wrap type="square" anchorx="page"/>
              </v:shape>
            </w:pict>
          </mc:Fallback>
        </mc:AlternateContent>
      </w:r>
    </w:p>
    <w:p>
      <w:pPr>
        <w:pStyle w:val="Style2"/>
        <w:keepNext w:val="0"/>
        <w:keepLines w:val="0"/>
        <w:widowControl w:val="0"/>
        <w:shd w:val="clear" w:color="auto" w:fill="auto"/>
        <w:bidi w:val="0"/>
        <w:spacing w:before="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1о11@Га8.§оу.ги</w:t>
      </w:r>
    </w:p>
    <w:p>
      <w:pPr>
        <w:pStyle w:val="Style10"/>
        <w:keepNext w:val="0"/>
        <w:keepLines w:val="0"/>
        <w:widowControl w:val="0"/>
        <w:shd w:val="clear" w:color="auto" w:fill="auto"/>
        <w:tabs>
          <w:tab w:pos="1843" w:val="left"/>
        </w:tabs>
        <w:bidi w:val="0"/>
        <w:spacing w:before="0" w:line="240" w:lineRule="auto"/>
        <w:ind w:left="0" w:right="0" w:firstLine="0"/>
        <w:jc w:val="center"/>
      </w:pPr>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7.01.2025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ОД/408/25</w:t>
      </w:r>
    </w:p>
    <w:p>
      <w:pPr>
        <w:pStyle w:val="Style5"/>
        <w:keepNext w:val="0"/>
        <w:keepLines w:val="0"/>
        <w:widowControl w:val="0"/>
        <w:shd w:val="clear" w:color="auto" w:fill="auto"/>
        <w:bidi w:val="0"/>
        <w:spacing w:before="0" w:after="0" w:line="271" w:lineRule="auto"/>
        <w:ind w:left="0" w:right="0" w:firstLine="0"/>
        <w:jc w:val="center"/>
        <w:rPr>
          <w:sz w:val="18"/>
          <w:szCs w:val="18"/>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423" w:right="6680" w:bottom="1197" w:left="1111" w:header="0" w:footer="3" w:gutter="0"/>
          <w:pgNumType w:start="1"/>
          <w:cols w:space="720"/>
          <w:noEndnote/>
          <w:titlePg/>
          <w:rtlGutter w:val="0"/>
          <w:docGrid w:linePitch="360"/>
        </w:sectPr>
      </w:pPr>
      <w:r>
        <w:rPr>
          <w:b w:val="0"/>
          <w:bCs w:val="0"/>
          <w:spacing w:val="0"/>
          <w:w w:val="100"/>
          <w:position w:val="0"/>
          <w:sz w:val="18"/>
          <w:szCs w:val="18"/>
          <w:shd w:val="clear" w:color="auto" w:fill="auto"/>
          <w:lang w:val="ru-RU" w:eastAsia="ru-RU" w:bidi="ru-RU"/>
        </w:rPr>
        <w:t xml:space="preserve">На №  от</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23" w:right="0" w:bottom="1216" w:left="0" w:header="0" w:footer="3" w:gutter="0"/>
          <w:cols w:space="720"/>
          <w:noEndnote/>
          <w:rtlGutter w:val="0"/>
          <w:docGrid w:linePitch="360"/>
        </w:sectPr>
      </w:pPr>
    </w:p>
    <w:p>
      <w:pPr>
        <w:widowControl w:val="0"/>
        <w:spacing w:after="345" w:line="1" w:lineRule="exact"/>
      </w:pPr>
      <w:r>
        <w:drawing>
          <wp:anchor distT="0" distB="0" distL="0" distR="0" simplePos="0" relativeHeight="62914696" behindDoc="1" locked="0" layoutInCell="1" allowOverlap="1">
            <wp:simplePos x="0" y="0"/>
            <wp:positionH relativeFrom="page">
              <wp:posOffset>693420</wp:posOffset>
            </wp:positionH>
            <wp:positionV relativeFrom="paragraph">
              <wp:posOffset>12700</wp:posOffset>
            </wp:positionV>
            <wp:extent cx="225425" cy="21971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25425" cy="219710"/>
                    </a:xfrm>
                    <a:prstGeom prst="rect"/>
                  </pic:spPr>
                </pic:pic>
              </a:graphicData>
            </a:graphic>
          </wp:anchor>
        </w:drawing>
      </w:r>
      <w:r>
        <w:drawing>
          <wp:anchor distT="0" distB="0" distL="0" distR="0" simplePos="0" relativeHeight="62914697" behindDoc="1" locked="0" layoutInCell="1" allowOverlap="1">
            <wp:simplePos x="0" y="0"/>
            <wp:positionH relativeFrom="page">
              <wp:posOffset>3128645</wp:posOffset>
            </wp:positionH>
            <wp:positionV relativeFrom="paragraph">
              <wp:posOffset>12700</wp:posOffset>
            </wp:positionV>
            <wp:extent cx="219710" cy="219710"/>
            <wp:wrapNone/>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19710" cy="21971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423" w:right="541" w:bottom="1216" w:left="1092"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через Единую информационную систему в сфере закупок</w:t>
      </w:r>
    </w:p>
    <w:p>
      <w:pPr>
        <w:pStyle w:val="Style14"/>
        <w:keepNext w:val="0"/>
        <w:keepLines w:val="0"/>
        <w:widowControl w:val="0"/>
        <w:shd w:val="clear" w:color="auto" w:fill="auto"/>
        <w:bidi w:val="0"/>
        <w:spacing w:before="0" w:after="0" w:line="240" w:lineRule="auto"/>
        <w:ind w:left="5020" w:right="0" w:firstLine="0"/>
        <w:jc w:val="left"/>
      </w:pPr>
      <w:r>
        <w:rPr>
          <w:b/>
          <w:bCs/>
          <w:color w:val="000000"/>
          <w:spacing w:val="0"/>
          <w:w w:val="100"/>
          <w:position w:val="0"/>
          <w:shd w:val="clear" w:color="auto" w:fill="auto"/>
          <w:lang w:val="ru-RU" w:eastAsia="ru-RU" w:bidi="ru-RU"/>
        </w:rPr>
        <w:t>Общество</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ответственностью Аудиторская компания «БИЗНЕС-АКТИВ»</w:t>
      </w:r>
    </w:p>
    <w:p>
      <w:pPr>
        <w:pStyle w:val="Style14"/>
        <w:keepNext w:val="0"/>
        <w:keepLines w:val="0"/>
        <w:widowControl w:val="0"/>
        <w:shd w:val="clear" w:color="auto" w:fill="auto"/>
        <w:bidi w:val="0"/>
        <w:spacing w:before="0" w:after="260" w:line="240" w:lineRule="auto"/>
        <w:ind w:left="5020" w:right="0" w:firstLine="0"/>
        <w:jc w:val="left"/>
      </w:pPr>
      <w:r>
        <w:rPr>
          <w:b/>
          <w:bCs/>
          <w:color w:val="000000"/>
          <w:spacing w:val="0"/>
          <w:w w:val="100"/>
          <w:position w:val="0"/>
          <w:shd w:val="clear" w:color="auto" w:fill="auto"/>
          <w:lang w:val="ru-RU" w:eastAsia="ru-RU" w:bidi="ru-RU"/>
        </w:rPr>
        <w:t>Муниципальное унитарное предприятие «Сыктывкарский банно-прачечный трест»</w:t>
      </w:r>
    </w:p>
    <w:p>
      <w:pPr>
        <w:pStyle w:val="Style14"/>
        <w:keepNext w:val="0"/>
        <w:keepLines w:val="0"/>
        <w:widowControl w:val="0"/>
        <w:shd w:val="clear" w:color="auto" w:fill="auto"/>
        <w:bidi w:val="0"/>
        <w:spacing w:before="0" w:after="380" w:line="240" w:lineRule="auto"/>
        <w:ind w:left="5020" w:right="0" w:firstLine="0"/>
        <w:jc w:val="left"/>
      </w:pPr>
      <w:r>
        <w:rPr>
          <w:b/>
          <w:bCs/>
          <w:color w:val="000000"/>
          <w:spacing w:val="0"/>
          <w:w w:val="100"/>
          <w:position w:val="0"/>
          <w:shd w:val="clear" w:color="auto" w:fill="auto"/>
          <w:lang w:val="ru-RU" w:eastAsia="ru-RU" w:bidi="ru-RU"/>
        </w:rPr>
        <w:t>Общество с ограниченной ответственностью «РТС-тендер»</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жалобе № 011/06/48-30/2025</w:t>
      </w:r>
    </w:p>
    <w:p>
      <w:pPr>
        <w:pStyle w:val="Style14"/>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6243955</wp:posOffset>
                </wp:positionH>
                <wp:positionV relativeFrom="paragraph">
                  <wp:posOffset>12700</wp:posOffset>
                </wp:positionV>
                <wp:extent cx="953770" cy="234950"/>
                <wp:wrapSquare wrapText="left"/>
                <wp:docPr id="15" name="Shape 15"/>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wps:txbx>
                      <wps:bodyPr wrap="none" lIns="0" tIns="0" rIns="0" bIns="0">
                        <a:noAutoFit/>
                      </wps:bodyPr>
                    </wps:wsp>
                  </a:graphicData>
                </a:graphic>
              </wp:anchor>
            </w:drawing>
          </mc:Choice>
          <mc:Fallback>
            <w:pict>
              <v:shape id="_x0000_s1041" type="#_x0000_t202" style="position:absolute;margin-left:491.65000000000003pt;margin-top:1.pt;width:75.100000000000009pt;height:18.5pt;z-index:-12582937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Сыктывкар</w:t>
                      </w:r>
                    </w:p>
                  </w:txbxContent>
                </v:textbox>
                <w10:wrap type="square" side="left" anchorx="page"/>
              </v:shape>
            </w:pict>
          </mc:Fallback>
        </mc:AlternateContent>
      </w:r>
      <w:r>
        <w:rPr>
          <w:color w:val="000000"/>
          <w:spacing w:val="0"/>
          <w:w w:val="100"/>
          <w:position w:val="0"/>
          <w:shd w:val="clear" w:color="auto" w:fill="auto"/>
          <w:lang w:val="ru-RU" w:eastAsia="ru-RU" w:bidi="ru-RU"/>
        </w:rPr>
        <w:t>24 января 2025 год</w:t>
      </w:r>
    </w:p>
    <w:p>
      <w:pPr>
        <w:pStyle w:val="Style14"/>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Овериной А.В. - главного специалиста - эксперта управления, члена Комиссии; Растегаевой А.Д. - специалиста - эксперта управления, члена Комиссии (далее - Комиссия Коми УФАС России), рассмотрев жалобу общества с ограниченной ответственностью Аудиторская компания «БИЗНЕС-АКТИВ» (далее - ООО Аудиторская компания «БИЗНЕС- АКТИВ») от 17.01.2025 № 5.01.01/фас (вх. от 17.01.2025 № 418/25) на действия комиссии по осуществлению закупок заказчика - муниципального унитарного предприятия «Сыктывкарский банно-прачечный трест» (далее - МУП «Сыктывкарский банно</w:t>
        <w:softHyphen/>
        <w:t>прачечный трест») при осуществлении закупки способом открытого конкурса в электронной форме «Услуги по проведению финансового аудита», извещение</w:t>
      </w:r>
    </w:p>
    <w:p>
      <w:pPr>
        <w:pStyle w:val="Style2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w:t>
      </w:r>
      <w:bookmarkEnd w:id="0"/>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0507600001824000020 (далее - жалоба),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-Болдиной С.А., представителя ООО Аудиторская компания «БИЗНЕС-АКТИВ» по доверенности от 03.10.2024г.,</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в рассмотрении жалобы:</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-Низовцевой О.А., представителя МУП «Сыктывкарский банно-прачечный трест» по доверенности от 22.01.2025 № 42,</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Аудиторская компания «БИЗНЕС-АКТИВ» от 17.01.2025 № 5.01.01/фас (вх. от 17.01.2025 № 418/25) на действия комиссии по осуществлению закупок заказчика - МУП «Сыктывкарский банно-прачечный трест» при осуществлении закупки способом открытого конкурса в электронной форме «Услуги по проведению финансового аудита», извещение № 0507600001824000020 (далее - закупка, открытый конкурс в электронной форме).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соблюдения срока и порядка подачи жалобы, указанная жалоба принята к рассмотрению.</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Аудиторская компания «БИЗНЕС-АКТИВ» в жалобе заявлено ходатайство о рассмотрении жалобы в формате веб-видеоконференции.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ходатайство ООО Аудиторская компания «БИЗНЕС-АКТИВ» удовлетворено.</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Аудиторская компания «БИЗНЕС-АКТИВ», МУП «Сыктывкарский банно</w:t>
        <w:softHyphen/>
        <w:t>прачечный трест», общество с ограниченной ответственностью «РТС-тендер» (оператор электронной площадки) о времени, дате, месте, формате рассмотрения жалобы надлежащим образом извещены.</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и проведению внеплановой проверки.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доводам жалобы, ООО Аудиторская компания «БИЗНЕС-АКТИВ», не обжалуя результат оценки заявок, оспаривает действие комиссии по осуществлению закупки заказчика в части нарушения установленного порядка оценки заявок на участие в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МУП «Сыктывкарский банно-прачечный трест» в письме от 22.01.2025 № 42 (вх. от 23.01.2025 № 604-ЭП/25) указало об обоснованности доводов жалобы, признало нарушения установленного порядка оценки заявок на участие в закупке и наличие </w:t>
      </w:r>
      <w:r>
        <w:rPr>
          <w:color w:val="000000"/>
          <w:spacing w:val="0"/>
          <w:w w:val="100"/>
          <w:position w:val="0"/>
          <w:shd w:val="clear" w:color="auto" w:fill="auto"/>
          <w:lang w:val="ru-RU" w:eastAsia="ru-RU" w:bidi="ru-RU"/>
        </w:rPr>
        <w:t>оснований для отмены протокола рассмотрения и оценки вторых частей заявок на участие в открытом конкурсе в электронной форме от 15.01.2025 №ПРОП2, протокола подведения итогов определения поставщика (подрядчика, исполнителя) от 16.01.2025 №ИЭОК1.</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Общество с ограниченной ответственностью «РТС-тендер» письмом от 20.01.2025 (вх. от 20.01.2025 № 469-ЭП/25) в материалы жалобы предоставило заявки на участие в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открытого конкурса в электронной форме, электронными документами, содержащимися при указанном извещении, заслушав представителей сторон, пришла к нижеследующим выводам.</w:t>
      </w:r>
    </w:p>
    <w:p>
      <w:pPr>
        <w:pStyle w:val="Style14"/>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1. </w:t>
      </w:r>
      <w:r>
        <w:rPr>
          <w:color w:val="000000"/>
          <w:spacing w:val="0"/>
          <w:w w:val="100"/>
          <w:position w:val="0"/>
          <w:shd w:val="clear" w:color="auto" w:fill="auto"/>
          <w:lang w:val="ru-RU" w:eastAsia="ru-RU" w:bidi="ru-RU"/>
        </w:rPr>
        <w:t>Заказчиком осуществления закупки явилось МУП «Сыктывкарский банно</w:t>
        <w:softHyphen/>
        <w:t>прачечный трест».</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Объект закупки способом открытого конкурса в электронной форме - «Услуги по проведению финансового аудита».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- 120 000,00 руб.</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размещено на официальном сайте Единой информационной системы в сфере закупок \у\у\у./акирк1.доу.ги 27.12.2024.</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Приказом МУП «Сыктывкарский банно-прачечный трест» от 03.06.2024 № 10 создана Комиссия по осуществлению закупок товаров, работ, услуг для нужд МУП «Сыктывкарский банно-прачечный трест» (далее - Комиссия по осуществлению закупок).</w:t>
      </w:r>
    </w:p>
    <w:p>
      <w:pPr>
        <w:pStyle w:val="Style14"/>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Согласно части 4 статьи 5 Федерального закона от 30.12.2008 № 307-ФЗ «Об аудиторской деятельности» договор на проведение обязательного аудита бухгалтерской (финансовой) отчетности организации, в уставном (складочном) капитале которой доля государственной собственности составляет не менее 25 процентов, а также на проведение аудита бухгалтерской (финансовой) отчетности государственной корпорации, государственной компании, публично-правовой компании, государственного унитарного предприятия или муниципального унитарного предприятия заключается по результатам проведения не реже чем один раз в пять лет электронного конкурса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при этом установление требования к обеспечению заявок на участие в конкурсе и (или) к обеспечению исполнения контракта не является обязательным.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Pr>
          <w:color w:val="000000"/>
          <w:spacing w:val="0"/>
          <w:w w:val="100"/>
          <w:position w:val="0"/>
          <w:shd w:val="clear" w:color="auto" w:fill="auto"/>
          <w:lang w:val="ru-RU" w:eastAsia="ru-RU" w:bidi="ru-RU"/>
        </w:rPr>
        <w:t>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Одним из конкурентных способов определения поставщиков (подрядчиков, исполнителей) является, согласно пункту 1 части 2 статьи 24 Закона о контрактной системе, в том числе конкурс (открытый конкурс в электронной форме).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4 статьи 24 Закона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Частью 1 статьи 48 Закона о контрактной системе установлено, что электронный конкурс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пункту 11 части 1 статьи 42 Закона о контрактной системе извещение о закупке должно содержать, наряду с прочим, критерии оценки заявок на участие в конкурсах, величины значимости этих критериев в соответствии с настоящим Федеральным законом.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4 части 1, частям 4, 8, 9 статьи 32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w:t>
      </w:r>
      <w:r>
        <w:rPr>
          <w:color w:val="000000"/>
          <w:spacing w:val="0"/>
          <w:w w:val="100"/>
          <w:position w:val="0"/>
          <w:shd w:val="clear" w:color="auto" w:fill="auto"/>
          <w:lang w:val="ru-RU" w:eastAsia="ru-RU" w:bidi="ru-RU"/>
        </w:rPr>
        <w:t>2021г. № 2369 и признании утратившими силу некоторых актов и отдельных положений некоторых актов Правительства Российской Федерации» (далее - Положение об оценке заявок на участие в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пункту 3 Положения об оценке заявок на участие в закупке для оценки заявок в соответствии с настоящим Положением применяются следующие критерии оценки:</w:t>
      </w:r>
    </w:p>
    <w:p>
      <w:pPr>
        <w:pStyle w:val="Style14"/>
        <w:keepNext w:val="0"/>
        <w:keepLines w:val="0"/>
        <w:widowControl w:val="0"/>
        <w:numPr>
          <w:ilvl w:val="0"/>
          <w:numId w:val="1"/>
        </w:numPr>
        <w:shd w:val="clear" w:color="auto" w:fill="auto"/>
        <w:tabs>
          <w:tab w:pos="108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4"/>
        <w:keepNext w:val="0"/>
        <w:keepLines w:val="0"/>
        <w:widowControl w:val="0"/>
        <w:numPr>
          <w:ilvl w:val="0"/>
          <w:numId w:val="1"/>
        </w:numPr>
        <w:shd w:val="clear" w:color="auto" w:fill="auto"/>
        <w:tabs>
          <w:tab w:pos="110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расходы;</w:t>
      </w:r>
    </w:p>
    <w:p>
      <w:pPr>
        <w:pStyle w:val="Style14"/>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характеристики объекта закупки;</w:t>
      </w:r>
    </w:p>
    <w:p>
      <w:pPr>
        <w:pStyle w:val="Style14"/>
        <w:keepNext w:val="0"/>
        <w:keepLines w:val="0"/>
        <w:widowControl w:val="0"/>
        <w:numPr>
          <w:ilvl w:val="0"/>
          <w:numId w:val="1"/>
        </w:numPr>
        <w:shd w:val="clear" w:color="auto" w:fill="auto"/>
        <w:tabs>
          <w:tab w:pos="10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квалификация участников закупки.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Порядок оценки заявок по критерию оценки «цена контракта, сумма цен единиц товара, работы, услуги» регламентирован в пунктах 9-11 Положения об оценке заявок на участие в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пунктах 9-10 Положения об оценке заявок на участие в закупке приведены формулы для расчета значения количества баллов по критерию оценки «цена контракта, сумма цен единиц товара, работы, услуги».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подпунктами «а», «в» пункта 11 Положения об оценке заявок на участие в закупке оценка заявок по критерию оценки «цена контракта, сумма цен единиц товара, работы, услуги» осуществляется в соответствии со следующими требованиями: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применение показателей оценки по критерию оценки «цена контракта, сумма цен единиц товара, работы, услуги» не допускается.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подпунктам «в», «д» пункта 24, пункту 25 Положения об оценке заявок на участие в закупке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 в том числе, показатели: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Для оценки заявок по показателям оценки, предусмотренным пунктом 24 настоящего Положения, применяются детализирующие показатели.</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подпунктами «а», «б» пункта 28 Положения об оценке заявок на участие в закупке в случае применения показателя оценки, предусмотренного подпунктом «в» пункта 24 настоящего Положения,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пункте 20 Положения об оценке заявок на участие в закупке приведены формулы для расчета значения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(БХ</w:t>
      </w:r>
      <w:r>
        <w:rPr>
          <w:rFonts w:ascii="Arial" w:eastAsia="Arial" w:hAnsi="Arial" w:cs="Arial"/>
          <w:color w:val="000000"/>
          <w:spacing w:val="0"/>
          <w:w w:val="100"/>
          <w:position w:val="0"/>
          <w:sz w:val="12"/>
          <w:szCs w:val="12"/>
          <w:shd w:val="clear" w:color="auto" w:fill="auto"/>
          <w:lang w:val="ru-RU" w:eastAsia="ru-RU" w:bidi="ru-RU"/>
        </w:rPr>
        <w:t>,</w:t>
      </w:r>
      <w:r>
        <w:rPr>
          <w:color w:val="000000"/>
          <w:spacing w:val="0"/>
          <w:w w:val="100"/>
          <w:position w:val="0"/>
          <w:shd w:val="clear" w:color="auto" w:fill="auto"/>
          <w:lang w:val="ru-RU" w:eastAsia="ru-RU" w:bidi="ru-RU"/>
        </w:rPr>
        <w:t>), если значение характеристики объекта закупки, определенной количественным значением, находится в функциональной зависимости от</w:t>
        <w:br w:type="page"/>
      </w:r>
      <w:r>
        <w:rPr>
          <w:color w:val="000000"/>
          <w:spacing w:val="0"/>
          <w:w w:val="100"/>
          <w:position w:val="0"/>
          <w:shd w:val="clear" w:color="auto" w:fill="auto"/>
          <w:lang w:val="ru-RU" w:eastAsia="ru-RU" w:bidi="ru-RU"/>
        </w:rPr>
        <w:t>значения количества присваиваемых баллов.</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подпункту з) пункта 20 Положения об оценке заявок на участие в закупке в случае, если лучшим является наибольшее значение характеристики объекта закупки и</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пред</w:t>
      </w:r>
    </w:p>
    <w:p>
      <w:pPr>
        <w:pStyle w:val="Style14"/>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ru-RU" w:eastAsia="ru-RU" w:bidi="ru-RU"/>
        </w:rPr>
        <w:t xml:space="preserve">установлены предельное минимальное значение ( </w:t>
      </w:r>
      <w:r>
        <w:rPr>
          <w:color w:val="000000"/>
          <w:spacing w:val="0"/>
          <w:w w:val="100"/>
          <w:position w:val="0"/>
          <w:shd w:val="clear" w:color="auto" w:fill="auto"/>
          <w:vertAlign w:val="superscript"/>
          <w:lang w:val="ru-RU" w:eastAsia="ru-RU" w:bidi="ru-RU"/>
        </w:rPr>
        <w:t>тт</w:t>
      </w:r>
      <w:r>
        <w:rPr>
          <w:color w:val="000000"/>
          <w:spacing w:val="0"/>
          <w:w w:val="100"/>
          <w:position w:val="0"/>
          <w:shd w:val="clear" w:color="auto" w:fill="auto"/>
          <w:lang w:val="ru-RU" w:eastAsia="ru-RU" w:bidi="ru-RU"/>
        </w:rPr>
        <w:t xml:space="preserve"> ) характеристики объекта закупки и</w:t>
      </w:r>
    </w:p>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пред</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предельное максимальное значение ( </w:t>
      </w:r>
      <w:r>
        <w:rPr>
          <w:color w:val="000000"/>
          <w:spacing w:val="0"/>
          <w:w w:val="100"/>
          <w:position w:val="0"/>
          <w:sz w:val="12"/>
          <w:szCs w:val="12"/>
          <w:shd w:val="clear" w:color="auto" w:fill="auto"/>
          <w:vertAlign w:val="superscript"/>
          <w:lang w:val="ru-RU" w:eastAsia="ru-RU" w:bidi="ru-RU"/>
        </w:rPr>
        <w:t>тах</w:t>
      </w:r>
      <w:r>
        <w:rPr>
          <w:color w:val="000000"/>
          <w:spacing w:val="0"/>
          <w:w w:val="100"/>
          <w:position w:val="0"/>
          <w:shd w:val="clear" w:color="auto" w:fill="auto"/>
          <w:lang w:val="ru-RU" w:eastAsia="ru-RU" w:bidi="ru-RU"/>
        </w:rPr>
        <w:t>) характеристики объекта закупки, расчет производится по формуле:</w:t>
      </w:r>
    </w:p>
    <w:p>
      <w:pPr>
        <w:widowControl w:val="0"/>
        <w:spacing w:line="1" w:lineRule="exact"/>
      </w:pPr>
      <w:r>
        <mc:AlternateContent>
          <mc:Choice Requires="wps">
            <w:drawing>
              <wp:anchor distT="68580" distB="115570" distL="0" distR="0" simplePos="0" relativeHeight="125829383" behindDoc="0" locked="0" layoutInCell="1" allowOverlap="1">
                <wp:simplePos x="0" y="0"/>
                <wp:positionH relativeFrom="page">
                  <wp:posOffset>2975610</wp:posOffset>
                </wp:positionH>
                <wp:positionV relativeFrom="paragraph">
                  <wp:posOffset>68580</wp:posOffset>
                </wp:positionV>
                <wp:extent cx="1167130" cy="307975"/>
                <wp:wrapTopAndBottom/>
                <wp:docPr id="17" name="Shape 17"/>
                <a:graphic xmlns:a="http://schemas.openxmlformats.org/drawingml/2006/main">
                  <a:graphicData uri="http://schemas.microsoft.com/office/word/2010/wordprocessingShape">
                    <wps:wsp>
                      <wps:cNvSpPr txBox="1"/>
                      <wps:spPr>
                        <a:xfrm>
                          <a:ext cx="1167130" cy="307975"/>
                        </a:xfrm>
                        <a:prstGeom prst="rect"/>
                        <a:noFill/>
                      </wps:spPr>
                      <wps:txbx>
                        <w:txbxContent>
                          <w:p>
                            <w:pPr>
                              <w:pStyle w:val="Style16"/>
                              <w:keepNext w:val="0"/>
                              <w:keepLines w:val="0"/>
                              <w:widowControl w:val="0"/>
                              <w:shd w:val="clear" w:color="auto" w:fill="auto"/>
                              <w:bidi w:val="0"/>
                              <w:spacing w:before="100" w:after="0" w:line="240" w:lineRule="auto"/>
                              <w:ind w:left="1280" w:right="0" w:firstLine="0"/>
                              <w:jc w:val="left"/>
                            </w:pPr>
                            <w:r>
                              <w:rPr>
                                <w:color w:val="000000"/>
                                <w:spacing w:val="0"/>
                                <w:w w:val="100"/>
                                <w:position w:val="0"/>
                                <w:shd w:val="clear" w:color="auto" w:fill="auto"/>
                                <w:lang w:val="ru-RU" w:eastAsia="ru-RU" w:bidi="ru-RU"/>
                              </w:rPr>
                              <w:t>пред</w:t>
                            </w:r>
                          </w:p>
                          <w:p>
                            <w:pPr>
                              <w:pStyle w:val="Style14"/>
                              <w:keepNext w:val="0"/>
                              <w:keepLines w:val="0"/>
                              <w:widowControl w:val="0"/>
                              <w:shd w:val="clear" w:color="auto" w:fill="auto"/>
                              <w:bidi w:val="0"/>
                              <w:spacing w:before="0" w:after="0" w:line="180" w:lineRule="auto"/>
                              <w:ind w:left="0" w:right="0" w:firstLine="0"/>
                              <w:jc w:val="left"/>
                              <w:rPr>
                                <w:sz w:val="24"/>
                                <w:szCs w:val="24"/>
                              </w:rPr>
                            </w:pPr>
                            <w:r>
                              <w:rPr>
                                <w:color w:val="000000"/>
                                <w:spacing w:val="0"/>
                                <w:w w:val="100"/>
                                <w:position w:val="0"/>
                                <w:sz w:val="26"/>
                                <w:szCs w:val="26"/>
                                <w:shd w:val="clear" w:color="auto" w:fill="auto"/>
                                <w:vertAlign w:val="superscript"/>
                                <w:lang w:val="ru-RU" w:eastAsia="ru-RU" w:bidi="ru-RU"/>
                              </w:rPr>
                              <w:t>БХ</w:t>
                            </w:r>
                            <w:r>
                              <w:rPr>
                                <w:rFonts w:ascii="Arial" w:eastAsia="Arial" w:hAnsi="Arial" w:cs="Arial"/>
                                <w:color w:val="000000"/>
                                <w:spacing w:val="0"/>
                                <w:w w:val="100"/>
                                <w:position w:val="0"/>
                                <w:sz w:val="12"/>
                                <w:szCs w:val="12"/>
                                <w:shd w:val="clear" w:color="auto" w:fill="auto"/>
                                <w:lang w:val="ru-RU" w:eastAsia="ru-RU" w:bidi="ru-RU"/>
                              </w:rPr>
                              <w:t xml:space="preserve">1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42"/>
                                <w:szCs w:val="42"/>
                                <w:shd w:val="clear" w:color="auto" w:fill="auto"/>
                                <w:lang w:val="ru-RU" w:eastAsia="ru-RU" w:bidi="ru-RU"/>
                              </w:rPr>
                              <w:t>(</w:t>
                            </w:r>
                            <w:r>
                              <w:rPr>
                                <w:color w:val="000000"/>
                                <w:spacing w:val="0"/>
                                <w:w w:val="100"/>
                                <w:position w:val="0"/>
                                <w:sz w:val="24"/>
                                <w:szCs w:val="24"/>
                                <w:shd w:val="clear" w:color="auto" w:fill="auto"/>
                                <w:lang w:val="ru-RU" w:eastAsia="ru-RU" w:bidi="ru-RU"/>
                              </w:rPr>
                              <w:t>Х-Х</w:t>
                            </w:r>
                            <w:r>
                              <w:rPr>
                                <w:rFonts w:ascii="Arial" w:eastAsia="Arial" w:hAnsi="Arial" w:cs="Arial"/>
                                <w:color w:val="000000"/>
                                <w:spacing w:val="0"/>
                                <w:w w:val="100"/>
                                <w:position w:val="0"/>
                                <w:sz w:val="12"/>
                                <w:szCs w:val="12"/>
                                <w:shd w:val="clear" w:color="auto" w:fill="auto"/>
                                <w:lang w:val="ru-RU" w:eastAsia="ru-RU" w:bidi="ru-RU"/>
                              </w:rPr>
                              <w:t xml:space="preserve">тп </w:t>
                            </w:r>
                            <w:r>
                              <w:rPr>
                                <w:i/>
                                <w:iCs/>
                                <w:color w:val="000000"/>
                                <w:spacing w:val="0"/>
                                <w:w w:val="100"/>
                                <w:position w:val="0"/>
                                <w:sz w:val="40"/>
                                <w:szCs w:val="40"/>
                                <w:shd w:val="clear" w:color="auto" w:fill="auto"/>
                                <w:lang w:val="ru-RU" w:eastAsia="ru-RU" w:bidi="ru-RU"/>
                              </w:rPr>
                              <w:t>)</w:t>
                            </w:r>
                            <w:r>
                              <w:rPr>
                                <w:i/>
                                <w:iCs/>
                                <w:color w:val="000000"/>
                                <w:spacing w:val="0"/>
                                <w:w w:val="100"/>
                                <w:position w:val="0"/>
                                <w:sz w:val="24"/>
                                <w:szCs w:val="24"/>
                                <w:shd w:val="clear" w:color="auto" w:fill="auto"/>
                                <w:lang w:val="ru-RU" w:eastAsia="ru-RU" w:bidi="ru-RU"/>
                              </w:rPr>
                              <w:t>*</w:t>
                            </w:r>
                          </w:p>
                        </w:txbxContent>
                      </wps:txbx>
                      <wps:bodyPr lIns="0" tIns="0" rIns="0" bIns="0">
                        <a:noAutoFit/>
                      </wps:bodyPr>
                    </wps:wsp>
                  </a:graphicData>
                </a:graphic>
              </wp:anchor>
            </w:drawing>
          </mc:Choice>
          <mc:Fallback>
            <w:pict>
              <v:shape id="_x0000_s1043" type="#_x0000_t202" style="position:absolute;margin-left:234.30000000000001pt;margin-top:5.4000000000000004pt;width:91.900000000000006pt;height:24.25pt;z-index:-125829370;mso-wrap-distance-left:0;mso-wrap-distance-top:5.4000000000000004pt;mso-wrap-distance-right:0;mso-wrap-distance-bottom:9.0999999999999996pt;mso-position-horizontal-relative:page" filled="f" stroked="f">
                <v:textbox inset="0,0,0,0">
                  <w:txbxContent>
                    <w:p>
                      <w:pPr>
                        <w:pStyle w:val="Style16"/>
                        <w:keepNext w:val="0"/>
                        <w:keepLines w:val="0"/>
                        <w:widowControl w:val="0"/>
                        <w:shd w:val="clear" w:color="auto" w:fill="auto"/>
                        <w:bidi w:val="0"/>
                        <w:spacing w:before="100" w:after="0" w:line="240" w:lineRule="auto"/>
                        <w:ind w:left="1280" w:right="0" w:firstLine="0"/>
                        <w:jc w:val="left"/>
                      </w:pPr>
                      <w:r>
                        <w:rPr>
                          <w:color w:val="000000"/>
                          <w:spacing w:val="0"/>
                          <w:w w:val="100"/>
                          <w:position w:val="0"/>
                          <w:shd w:val="clear" w:color="auto" w:fill="auto"/>
                          <w:lang w:val="ru-RU" w:eastAsia="ru-RU" w:bidi="ru-RU"/>
                        </w:rPr>
                        <w:t>пред</w:t>
                      </w:r>
                    </w:p>
                    <w:p>
                      <w:pPr>
                        <w:pStyle w:val="Style14"/>
                        <w:keepNext w:val="0"/>
                        <w:keepLines w:val="0"/>
                        <w:widowControl w:val="0"/>
                        <w:shd w:val="clear" w:color="auto" w:fill="auto"/>
                        <w:bidi w:val="0"/>
                        <w:spacing w:before="0" w:after="0" w:line="180" w:lineRule="auto"/>
                        <w:ind w:left="0" w:right="0" w:firstLine="0"/>
                        <w:jc w:val="left"/>
                        <w:rPr>
                          <w:sz w:val="24"/>
                          <w:szCs w:val="24"/>
                        </w:rPr>
                      </w:pPr>
                      <w:r>
                        <w:rPr>
                          <w:color w:val="000000"/>
                          <w:spacing w:val="0"/>
                          <w:w w:val="100"/>
                          <w:position w:val="0"/>
                          <w:sz w:val="26"/>
                          <w:szCs w:val="26"/>
                          <w:shd w:val="clear" w:color="auto" w:fill="auto"/>
                          <w:vertAlign w:val="superscript"/>
                          <w:lang w:val="ru-RU" w:eastAsia="ru-RU" w:bidi="ru-RU"/>
                        </w:rPr>
                        <w:t>БХ</w:t>
                      </w:r>
                      <w:r>
                        <w:rPr>
                          <w:rFonts w:ascii="Arial" w:eastAsia="Arial" w:hAnsi="Arial" w:cs="Arial"/>
                          <w:color w:val="000000"/>
                          <w:spacing w:val="0"/>
                          <w:w w:val="100"/>
                          <w:position w:val="0"/>
                          <w:sz w:val="12"/>
                          <w:szCs w:val="12"/>
                          <w:shd w:val="clear" w:color="auto" w:fill="auto"/>
                          <w:lang w:val="ru-RU" w:eastAsia="ru-RU" w:bidi="ru-RU"/>
                        </w:rPr>
                        <w:t xml:space="preserve">1 </w:t>
                      </w:r>
                      <w:r>
                        <w:rPr>
                          <w:color w:val="000000"/>
                          <w:spacing w:val="0"/>
                          <w:w w:val="100"/>
                          <w:position w:val="0"/>
                          <w:sz w:val="24"/>
                          <w:szCs w:val="24"/>
                          <w:shd w:val="clear" w:color="auto" w:fill="auto"/>
                          <w:lang w:val="ru-RU" w:eastAsia="ru-RU" w:bidi="ru-RU"/>
                        </w:rPr>
                        <w:t xml:space="preserve">= </w:t>
                      </w:r>
                      <w:r>
                        <w:rPr>
                          <w:color w:val="000000"/>
                          <w:spacing w:val="0"/>
                          <w:w w:val="100"/>
                          <w:position w:val="0"/>
                          <w:sz w:val="42"/>
                          <w:szCs w:val="42"/>
                          <w:shd w:val="clear" w:color="auto" w:fill="auto"/>
                          <w:lang w:val="ru-RU" w:eastAsia="ru-RU" w:bidi="ru-RU"/>
                        </w:rPr>
                        <w:t>(</w:t>
                      </w:r>
                      <w:r>
                        <w:rPr>
                          <w:color w:val="000000"/>
                          <w:spacing w:val="0"/>
                          <w:w w:val="100"/>
                          <w:position w:val="0"/>
                          <w:sz w:val="24"/>
                          <w:szCs w:val="24"/>
                          <w:shd w:val="clear" w:color="auto" w:fill="auto"/>
                          <w:lang w:val="ru-RU" w:eastAsia="ru-RU" w:bidi="ru-RU"/>
                        </w:rPr>
                        <w:t>Х-Х</w:t>
                      </w:r>
                      <w:r>
                        <w:rPr>
                          <w:rFonts w:ascii="Arial" w:eastAsia="Arial" w:hAnsi="Arial" w:cs="Arial"/>
                          <w:color w:val="000000"/>
                          <w:spacing w:val="0"/>
                          <w:w w:val="100"/>
                          <w:position w:val="0"/>
                          <w:sz w:val="12"/>
                          <w:szCs w:val="12"/>
                          <w:shd w:val="clear" w:color="auto" w:fill="auto"/>
                          <w:lang w:val="ru-RU" w:eastAsia="ru-RU" w:bidi="ru-RU"/>
                        </w:rPr>
                        <w:t xml:space="preserve">тп </w:t>
                      </w:r>
                      <w:r>
                        <w:rPr>
                          <w:i/>
                          <w:iCs/>
                          <w:color w:val="000000"/>
                          <w:spacing w:val="0"/>
                          <w:w w:val="100"/>
                          <w:position w:val="0"/>
                          <w:sz w:val="40"/>
                          <w:szCs w:val="40"/>
                          <w:shd w:val="clear" w:color="auto" w:fill="auto"/>
                          <w:lang w:val="ru-RU" w:eastAsia="ru-RU" w:bidi="ru-RU"/>
                        </w:rPr>
                        <w:t>)</w:t>
                      </w:r>
                      <w:r>
                        <w:rPr>
                          <w:i/>
                          <w:iCs/>
                          <w:color w:val="000000"/>
                          <w:spacing w:val="0"/>
                          <w:w w:val="100"/>
                          <w:position w:val="0"/>
                          <w:sz w:val="24"/>
                          <w:szCs w:val="24"/>
                          <w:shd w:val="clear" w:color="auto" w:fill="auto"/>
                          <w:lang w:val="ru-RU" w:eastAsia="ru-RU" w:bidi="ru-RU"/>
                        </w:rPr>
                        <w:t>*</w:t>
                      </w:r>
                    </w:p>
                  </w:txbxContent>
                </v:textbox>
                <w10:wrap type="topAndBottom" anchorx="page"/>
              </v:shape>
            </w:pict>
          </mc:Fallback>
        </mc:AlternateContent>
      </w:r>
      <w:r>
        <mc:AlternateContent>
          <mc:Choice Requires="wps">
            <w:drawing>
              <wp:anchor distT="38100" distB="237490" distL="0" distR="0" simplePos="0" relativeHeight="125829385" behindDoc="0" locked="0" layoutInCell="1" allowOverlap="1">
                <wp:simplePos x="0" y="0"/>
                <wp:positionH relativeFrom="page">
                  <wp:posOffset>4389755</wp:posOffset>
                </wp:positionH>
                <wp:positionV relativeFrom="paragraph">
                  <wp:posOffset>38100</wp:posOffset>
                </wp:positionV>
                <wp:extent cx="240665" cy="216535"/>
                <wp:wrapTopAndBottom/>
                <wp:docPr id="19" name="Shape 19"/>
                <a:graphic xmlns:a="http://schemas.openxmlformats.org/drawingml/2006/main">
                  <a:graphicData uri="http://schemas.microsoft.com/office/word/2010/wordprocessingShape">
                    <wps:wsp>
                      <wps:cNvSpPr txBox="1"/>
                      <wps:spPr>
                        <a:xfrm>
                          <a:ext cx="240665" cy="216535"/>
                        </a:xfrm>
                        <a:prstGeom prst="rect"/>
                        <a:noFill/>
                      </wps:spPr>
                      <wps:txbx>
                        <w:txbxContent>
                          <w:p>
                            <w:pPr>
                              <w:pStyle w:val="Style14"/>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100</w:t>
                            </w:r>
                          </w:p>
                        </w:txbxContent>
                      </wps:txbx>
                      <wps:bodyPr wrap="none" lIns="0" tIns="0" rIns="0" bIns="0">
                        <a:noAutoFit/>
                      </wps:bodyPr>
                    </wps:wsp>
                  </a:graphicData>
                </a:graphic>
              </wp:anchor>
            </w:drawing>
          </mc:Choice>
          <mc:Fallback>
            <w:pict>
              <v:shape id="_x0000_s1045" type="#_x0000_t202" style="position:absolute;margin-left:345.65000000000003pt;margin-top:3.pt;width:18.949999999999999pt;height:17.050000000000001pt;z-index:-125829368;mso-wrap-distance-left:0;mso-wrap-distance-top:3.pt;mso-wrap-distance-right:0;mso-wrap-distance-bottom:18.699999999999999pt;mso-position-horizontal-relative:page" filled="f" stroked="f">
                <v:textbox inset="0,0,0,0">
                  <w:txbxContent>
                    <w:p>
                      <w:pPr>
                        <w:pStyle w:val="Style14"/>
                        <w:keepNext w:val="0"/>
                        <w:keepLines w:val="0"/>
                        <w:widowControl w:val="0"/>
                        <w:pBdr>
                          <w:bottom w:val="single" w:sz="4" w:space="0" w:color="auto"/>
                        </w:pBdr>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100</w:t>
                      </w:r>
                    </w:p>
                  </w:txbxContent>
                </v:textbox>
                <w10:wrap type="topAndBottom" anchorx="page"/>
              </v:shape>
            </w:pict>
          </mc:Fallback>
        </mc:AlternateContent>
      </w:r>
      <w:r>
        <mc:AlternateContent>
          <mc:Choice Requires="wps">
            <w:drawing>
              <wp:anchor distT="257810" distB="0" distL="0" distR="0" simplePos="0" relativeHeight="125829387" behindDoc="0" locked="0" layoutInCell="1" allowOverlap="1">
                <wp:simplePos x="0" y="0"/>
                <wp:positionH relativeFrom="page">
                  <wp:posOffset>4145915</wp:posOffset>
                </wp:positionH>
                <wp:positionV relativeFrom="paragraph">
                  <wp:posOffset>257810</wp:posOffset>
                </wp:positionV>
                <wp:extent cx="716280" cy="234950"/>
                <wp:wrapTopAndBottom/>
                <wp:docPr id="21" name="Shape 21"/>
                <a:graphic xmlns:a="http://schemas.openxmlformats.org/drawingml/2006/main">
                  <a:graphicData uri="http://schemas.microsoft.com/office/word/2010/wordprocessingShape">
                    <wps:wsp>
                      <wps:cNvSpPr txBox="1"/>
                      <wps:spPr>
                        <a:xfrm>
                          <a:ext cx="71628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 xml:space="preserve">пред </w:t>
                            </w:r>
                            <w:r>
                              <w:rPr>
                                <w:color w:val="000000"/>
                                <w:spacing w:val="0"/>
                                <w:w w:val="100"/>
                                <w:position w:val="0"/>
                                <w:shd w:val="clear" w:color="auto" w:fill="auto"/>
                                <w:vertAlign w:val="subscript"/>
                                <w:lang w:val="ru-RU" w:eastAsia="ru-RU" w:bidi="ru-RU"/>
                              </w:rPr>
                              <w:t>- Х</w:t>
                            </w:r>
                            <w:r>
                              <w:rPr>
                                <w:color w:val="000000"/>
                                <w:spacing w:val="0"/>
                                <w:w w:val="100"/>
                                <w:position w:val="0"/>
                                <w:shd w:val="clear" w:color="auto" w:fill="auto"/>
                                <w:lang w:val="ru-RU" w:eastAsia="ru-RU" w:bidi="ru-RU"/>
                              </w:rPr>
                              <w:t>пред</w:t>
                            </w:r>
                          </w:p>
                          <w:p>
                            <w:pPr>
                              <w:pStyle w:val="Style16"/>
                              <w:keepNext w:val="0"/>
                              <w:keepLines w:val="0"/>
                              <w:widowControl w:val="0"/>
                              <w:shd w:val="clear" w:color="auto" w:fill="auto"/>
                              <w:tabs>
                                <w:tab w:pos="581" w:val="left"/>
                              </w:tabs>
                              <w:bidi w:val="0"/>
                              <w:spacing w:before="0" w:after="0" w:line="240" w:lineRule="auto"/>
                              <w:ind w:left="0" w:right="0" w:firstLine="0"/>
                              <w:jc w:val="center"/>
                            </w:pPr>
                            <w:r>
                              <w:rPr>
                                <w:color w:val="000000"/>
                                <w:spacing w:val="0"/>
                                <w:w w:val="100"/>
                                <w:position w:val="0"/>
                                <w:shd w:val="clear" w:color="auto" w:fill="auto"/>
                                <w:lang w:val="ru-RU" w:eastAsia="ru-RU" w:bidi="ru-RU"/>
                              </w:rPr>
                              <w:t>''тах</w:t>
                              <w:tab/>
                            </w:r>
                            <w:r>
                              <w:rPr>
                                <w:color w:val="000000"/>
                                <w:spacing w:val="0"/>
                                <w:w w:val="100"/>
                                <w:position w:val="0"/>
                                <w:shd w:val="clear" w:color="auto" w:fill="auto"/>
                                <w:vertAlign w:val="superscript"/>
                                <w:lang w:val="ru-RU" w:eastAsia="ru-RU" w:bidi="ru-RU"/>
                              </w:rPr>
                              <w:t>к</w:t>
                            </w:r>
                            <w:r>
                              <w:rPr>
                                <w:color w:val="000000"/>
                                <w:spacing w:val="0"/>
                                <w:w w:val="100"/>
                                <w:position w:val="0"/>
                                <w:shd w:val="clear" w:color="auto" w:fill="auto"/>
                                <w:lang w:val="ru-RU" w:eastAsia="ru-RU" w:bidi="ru-RU"/>
                              </w:rPr>
                              <w:t>тт</w:t>
                            </w:r>
                          </w:p>
                        </w:txbxContent>
                      </wps:txbx>
                      <wps:bodyPr lIns="0" tIns="0" rIns="0" bIns="0">
                        <a:noAutoFit/>
                      </wps:bodyPr>
                    </wps:wsp>
                  </a:graphicData>
                </a:graphic>
              </wp:anchor>
            </w:drawing>
          </mc:Choice>
          <mc:Fallback>
            <w:pict>
              <v:shape id="_x0000_s1047" type="#_x0000_t202" style="position:absolute;margin-left:326.44999999999999pt;margin-top:20.300000000000001pt;width:56.399999999999999pt;height:18.5pt;z-index:-125829366;mso-wrap-distance-left:0;mso-wrap-distance-top:20.300000000000001pt;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 xml:space="preserve">пред </w:t>
                      </w:r>
                      <w:r>
                        <w:rPr>
                          <w:color w:val="000000"/>
                          <w:spacing w:val="0"/>
                          <w:w w:val="100"/>
                          <w:position w:val="0"/>
                          <w:shd w:val="clear" w:color="auto" w:fill="auto"/>
                          <w:vertAlign w:val="subscript"/>
                          <w:lang w:val="ru-RU" w:eastAsia="ru-RU" w:bidi="ru-RU"/>
                        </w:rPr>
                        <w:t>- Х</w:t>
                      </w:r>
                      <w:r>
                        <w:rPr>
                          <w:color w:val="000000"/>
                          <w:spacing w:val="0"/>
                          <w:w w:val="100"/>
                          <w:position w:val="0"/>
                          <w:shd w:val="clear" w:color="auto" w:fill="auto"/>
                          <w:lang w:val="ru-RU" w:eastAsia="ru-RU" w:bidi="ru-RU"/>
                        </w:rPr>
                        <w:t>пред</w:t>
                      </w:r>
                    </w:p>
                    <w:p>
                      <w:pPr>
                        <w:pStyle w:val="Style16"/>
                        <w:keepNext w:val="0"/>
                        <w:keepLines w:val="0"/>
                        <w:widowControl w:val="0"/>
                        <w:shd w:val="clear" w:color="auto" w:fill="auto"/>
                        <w:tabs>
                          <w:tab w:pos="581" w:val="left"/>
                        </w:tabs>
                        <w:bidi w:val="0"/>
                        <w:spacing w:before="0" w:after="0" w:line="240" w:lineRule="auto"/>
                        <w:ind w:left="0" w:right="0" w:firstLine="0"/>
                        <w:jc w:val="center"/>
                      </w:pPr>
                      <w:r>
                        <w:rPr>
                          <w:color w:val="000000"/>
                          <w:spacing w:val="0"/>
                          <w:w w:val="100"/>
                          <w:position w:val="0"/>
                          <w:shd w:val="clear" w:color="auto" w:fill="auto"/>
                          <w:lang w:val="ru-RU" w:eastAsia="ru-RU" w:bidi="ru-RU"/>
                        </w:rPr>
                        <w:t>''тах</w:t>
                        <w:tab/>
                      </w:r>
                      <w:r>
                        <w:rPr>
                          <w:color w:val="000000"/>
                          <w:spacing w:val="0"/>
                          <w:w w:val="100"/>
                          <w:position w:val="0"/>
                          <w:shd w:val="clear" w:color="auto" w:fill="auto"/>
                          <w:vertAlign w:val="superscript"/>
                          <w:lang w:val="ru-RU" w:eastAsia="ru-RU" w:bidi="ru-RU"/>
                        </w:rPr>
                        <w:t>к</w:t>
                      </w:r>
                      <w:r>
                        <w:rPr>
                          <w:color w:val="000000"/>
                          <w:spacing w:val="0"/>
                          <w:w w:val="100"/>
                          <w:position w:val="0"/>
                          <w:shd w:val="clear" w:color="auto" w:fill="auto"/>
                          <w:lang w:val="ru-RU" w:eastAsia="ru-RU" w:bidi="ru-RU"/>
                        </w:rPr>
                        <w:t>тт</w:t>
                      </w:r>
                    </w:p>
                  </w:txbxContent>
                </v:textbox>
                <w10:wrap type="topAndBottom" anchorx="page"/>
              </v:shape>
            </w:pict>
          </mc:Fallback>
        </mc:AlternateConten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Х</w:t>
      </w:r>
      <w:r>
        <w:rPr>
          <w:rFonts w:ascii="Arial" w:eastAsia="Arial" w:hAnsi="Arial" w:cs="Arial"/>
          <w:color w:val="000000"/>
          <w:spacing w:val="0"/>
          <w:w w:val="100"/>
          <w:position w:val="0"/>
          <w:sz w:val="12"/>
          <w:szCs w:val="12"/>
          <w:shd w:val="clear" w:color="auto" w:fill="auto"/>
          <w:lang w:val="ru-RU" w:eastAsia="ru-RU" w:bidi="ru-RU"/>
        </w:rPr>
        <w:t xml:space="preserve">1 </w:t>
      </w:r>
      <w:r>
        <w:rPr>
          <w:color w:val="000000"/>
          <w:spacing w:val="0"/>
          <w:w w:val="100"/>
          <w:position w:val="0"/>
          <w:shd w:val="clear" w:color="auto" w:fill="auto"/>
          <w:lang w:val="ru-RU" w:eastAsia="ru-RU" w:bidi="ru-RU"/>
        </w:rPr>
        <w:t>-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w:t>
      </w:r>
    </w:p>
    <w:p>
      <w:pPr>
        <w:pStyle w:val="Style16"/>
        <w:keepNext w:val="0"/>
        <w:keepLines w:val="0"/>
        <w:widowControl w:val="0"/>
        <w:shd w:val="clear" w:color="auto" w:fill="auto"/>
        <w:bidi w:val="0"/>
        <w:spacing w:before="0" w:after="0" w:line="240" w:lineRule="auto"/>
        <w:ind w:left="1140" w:right="0" w:firstLine="0"/>
        <w:jc w:val="both"/>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пред</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где </w:t>
      </w:r>
      <w:r>
        <w:rPr>
          <w:color w:val="000000"/>
          <w:spacing w:val="0"/>
          <w:w w:val="100"/>
          <w:position w:val="0"/>
          <w:shd w:val="clear" w:color="auto" w:fill="auto"/>
          <w:vertAlign w:val="superscript"/>
          <w:lang w:val="ru-RU" w:eastAsia="ru-RU" w:bidi="ru-RU"/>
        </w:rPr>
        <w:t>Х</w:t>
      </w:r>
      <w:r>
        <w:rPr>
          <w:color w:val="000000"/>
          <w:spacing w:val="0"/>
          <w:w w:val="100"/>
          <w:position w:val="0"/>
          <w:sz w:val="12"/>
          <w:szCs w:val="12"/>
          <w:shd w:val="clear" w:color="auto" w:fill="auto"/>
          <w:vertAlign w:val="superscript"/>
          <w:lang w:val="ru-RU" w:eastAsia="ru-RU" w:bidi="ru-RU"/>
        </w:rPr>
        <w:t>тах</w:t>
      </w:r>
      <w:r>
        <w:rPr>
          <w:color w:val="000000"/>
          <w:spacing w:val="0"/>
          <w:w w:val="100"/>
          <w:position w:val="0"/>
          <w:sz w:val="12"/>
          <w:szCs w:val="12"/>
          <w:shd w:val="clear" w:color="auto" w:fill="auto"/>
          <w:lang w:val="ru-RU" w:eastAsia="ru-RU" w:bidi="ru-RU"/>
        </w:rPr>
        <w:t xml:space="preserve"> </w:t>
      </w:r>
      <w:r>
        <w:rPr>
          <w:color w:val="000000"/>
          <w:spacing w:val="0"/>
          <w:w w:val="100"/>
          <w:position w:val="0"/>
          <w:shd w:val="clear" w:color="auto" w:fill="auto"/>
          <w:lang w:val="ru-RU" w:eastAsia="ru-RU" w:bidi="ru-RU"/>
        </w:rPr>
        <w:t>- предельное максимальное значение характеристики, установленное заказчиком;</w:t>
      </w:r>
    </w:p>
    <w:p>
      <w:pPr>
        <w:pStyle w:val="Style14"/>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где </w:t>
      </w:r>
      <w:r>
        <w:rPr>
          <w:color w:val="000000"/>
          <w:spacing w:val="0"/>
          <w:w w:val="100"/>
          <w:position w:val="0"/>
          <w:shd w:val="clear" w:color="auto" w:fill="auto"/>
          <w:vertAlign w:val="superscript"/>
          <w:lang w:val="ru-RU" w:eastAsia="ru-RU" w:bidi="ru-RU"/>
        </w:rPr>
        <w:t>Х</w:t>
      </w:r>
      <w:r>
        <w:rPr>
          <w:rFonts w:ascii="Arial" w:eastAsia="Arial" w:hAnsi="Arial" w:cs="Arial"/>
          <w:color w:val="000000"/>
          <w:spacing w:val="0"/>
          <w:w w:val="100"/>
          <w:position w:val="0"/>
          <w:sz w:val="12"/>
          <w:szCs w:val="12"/>
          <w:shd w:val="clear" w:color="auto" w:fill="auto"/>
          <w:lang w:val="ru-RU" w:eastAsia="ru-RU" w:bidi="ru-RU"/>
        </w:rPr>
        <w:t>пр</w:t>
      </w:r>
      <w:r>
        <w:rPr>
          <w:color w:val="000000"/>
          <w:spacing w:val="0"/>
          <w:w w:val="100"/>
          <w:position w:val="0"/>
          <w:sz w:val="12"/>
          <w:szCs w:val="12"/>
          <w:shd w:val="clear" w:color="auto" w:fill="auto"/>
          <w:vertAlign w:val="superscript"/>
          <w:lang w:val="ru-RU" w:eastAsia="ru-RU" w:bidi="ru-RU"/>
        </w:rPr>
        <w:t>п</w:t>
      </w:r>
      <w:r>
        <w:rPr>
          <w:color w:val="000000"/>
          <w:spacing w:val="0"/>
          <w:w w:val="100"/>
          <w:position w:val="0"/>
          <w:sz w:val="12"/>
          <w:szCs w:val="12"/>
          <w:shd w:val="clear" w:color="auto" w:fill="auto"/>
          <w:lang w:val="ru-RU" w:eastAsia="ru-RU" w:bidi="ru-RU"/>
        </w:rPr>
        <w:t xml:space="preserve"> </w:t>
      </w:r>
      <w:r>
        <w:rPr>
          <w:color w:val="000000"/>
          <w:spacing w:val="0"/>
          <w:w w:val="100"/>
          <w:position w:val="0"/>
          <w:shd w:val="clear" w:color="auto" w:fill="auto"/>
          <w:lang w:val="ru-RU" w:eastAsia="ru-RU" w:bidi="ru-RU"/>
        </w:rPr>
        <w:t>- предельное минимальное значение характеристики объекта закупки, установленное заказчиком.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пункте 21 Положения об оценке заявок на участие в закупке установлено, что если установлены предусмотренные пунктом 20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w:t>
      </w:r>
      <w:r>
        <w:rPr>
          <w:i/>
          <w:iCs/>
          <w:color w:val="000000"/>
          <w:spacing w:val="0"/>
          <w:w w:val="100"/>
          <w:position w:val="0"/>
          <w:shd w:val="clear" w:color="auto" w:fill="auto"/>
          <w:lang w:val="ru-RU" w:eastAsia="ru-RU" w:bidi="ru-RU"/>
        </w:rPr>
        <w:t>которое выше и (или) ниже такого предельного значения соответственно, баллы по детализирующему показателю</w:t>
      </w:r>
      <w:r>
        <w:rPr>
          <w:color w:val="000000"/>
          <w:spacing w:val="0"/>
          <w:w w:val="100"/>
          <w:position w:val="0"/>
          <w:shd w:val="clear" w:color="auto" w:fill="auto"/>
          <w:lang w:val="ru-RU" w:eastAsia="ru-RU" w:bidi="ru-RU"/>
        </w:rPr>
        <w:t xml:space="preserve"> в соответствии с пунктом 20 настоящего Положения </w:t>
      </w:r>
      <w:r>
        <w:rPr>
          <w:i/>
          <w:iCs/>
          <w:color w:val="000000"/>
          <w:spacing w:val="0"/>
          <w:w w:val="100"/>
          <w:position w:val="0"/>
          <w:shd w:val="clear" w:color="auto" w:fill="auto"/>
          <w:lang w:val="ru-RU" w:eastAsia="ru-RU" w:bidi="ru-RU"/>
        </w:rPr>
        <w:t>присваиваются в размере, предусмотренном для соответствующего предельного значения характеристики объекта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абзацами 1-3 подпункта «в», подпункту г) пункта 28 Положения об оценке заявок на участие в закупке документом, предусмотренным приложением №1 к настоящему Положению:</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пункте 30 Положения об оценке заявок на участие в закупке установлено, что в случае применения показателя оценки, указанного в подпункте «д» пункта 24 настоящего Положения, документом, предусмотренным приложением № 1 к настоящему Положению, устанавливаются:</w:t>
      </w:r>
    </w:p>
    <w:p>
      <w:pPr>
        <w:pStyle w:val="Style14"/>
        <w:keepNext w:val="0"/>
        <w:keepLines w:val="0"/>
        <w:widowControl w:val="0"/>
        <w:numPr>
          <w:ilvl w:val="0"/>
          <w:numId w:val="3"/>
        </w:numPr>
        <w:shd w:val="clear" w:color="auto" w:fill="auto"/>
        <w:tabs>
          <w:tab w:pos="106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pPr>
        <w:pStyle w:val="Style14"/>
        <w:keepNext w:val="0"/>
        <w:keepLines w:val="0"/>
        <w:widowControl w:val="0"/>
        <w:numPr>
          <w:ilvl w:val="0"/>
          <w:numId w:val="3"/>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-трудовая книжка или сведения о трудовой деятельности, предусмотренные статьей 66.1 Трудового кодекса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рассмотрения и оценки заявок на участие в конкурсе размещен в составе извещения о закупке в виде отдельного электронного документа (далее - Порядок).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Порядок содержит сведения об установленных критериях оценки и их значимости: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цена контракта - 40,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 квалификация участников закупки - 60.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1 табличной формы Порядка содержится порядок оценки по критерию оценки «цена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2 табличной формы Порядка содержится порядок оценки по критерию оценки «квалификация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критерию оценки «квалификация участников закупки» в Порядке заказчик применил показатели оценки: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опыта оказания услуги,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120" w:line="262" w:lineRule="auto"/>
        <w:ind w:left="0" w:right="0" w:firstLine="720"/>
        <w:jc w:val="both"/>
      </w:pPr>
      <w:r>
        <w:rPr>
          <w:color w:val="000000"/>
          <w:spacing w:val="0"/>
          <w:w w:val="100"/>
          <w:position w:val="0"/>
          <w:shd w:val="clear" w:color="auto" w:fill="auto"/>
          <w:lang w:val="ru-RU" w:eastAsia="ru-RU" w:bidi="ru-RU"/>
        </w:rPr>
        <w:t>По показателю оценки «наличие у участников закупки опыта оказания услуги, связанного с предметом контракта», применен детализирующий показатель «общее количество исполненных участником закупки контрактов/договоров по проведению аудита бухгалтерской (финансовой) отчетности унитарных предприятий за 2023-2024 гг. (ст. 2 Федерального закона от 14.11.2002 г. № 161-ФЗ (ред. от 30.12.2021) «О государственных и муниципальных унитарных предприятиях»)», а также приведен порядок расчета: «Лучшим является наибольшее значение характеристики объекта закупки и установлено предельное максимальное значение ( Х</w:t>
      </w:r>
      <w:r>
        <w:rPr>
          <w:color w:val="000000"/>
          <w:spacing w:val="0"/>
          <w:w w:val="100"/>
          <w:position w:val="0"/>
          <w:sz w:val="15"/>
          <w:szCs w:val="15"/>
          <w:shd w:val="clear" w:color="auto" w:fill="auto"/>
          <w:lang w:val="ru-RU" w:eastAsia="ru-RU" w:bidi="ru-RU"/>
        </w:rPr>
        <w:t xml:space="preserve">' </w:t>
      </w:r>
      <w:r>
        <w:rPr>
          <w:color w:val="000000"/>
          <w:spacing w:val="0"/>
          <w:w w:val="100"/>
          <w:position w:val="0"/>
          <w:shd w:val="clear" w:color="auto" w:fill="auto"/>
          <w:lang w:val="ru-RU" w:eastAsia="ru-RU" w:bidi="ru-RU"/>
        </w:rPr>
        <w:t>) характеристики объекта закупки, по формуле:</w:t>
      </w:r>
    </w:p>
    <w:p>
      <w:pPr>
        <w:pStyle w:val="Style32"/>
        <w:keepNext/>
        <w:keepLines/>
        <w:widowControl w:val="0"/>
        <w:shd w:val="clear" w:color="auto" w:fill="auto"/>
        <w:tabs>
          <w:tab w:pos="2730" w:val="left"/>
        </w:tabs>
        <w:bidi w:val="0"/>
        <w:spacing w:before="0" w:after="0" w:line="240" w:lineRule="auto"/>
        <w:ind w:left="0" w:right="0" w:firstLine="700"/>
        <w:jc w:val="both"/>
        <w:rPr>
          <w:sz w:val="38"/>
          <w:szCs w:val="38"/>
        </w:rPr>
      </w:pPr>
      <w:bookmarkStart w:id="2" w:name="bookmark2"/>
      <w:r>
        <w:rPr>
          <w:color w:val="000000"/>
          <w:spacing w:val="0"/>
          <w:w w:val="100"/>
          <w:position w:val="0"/>
          <w:sz w:val="14"/>
          <w:szCs w:val="14"/>
          <w:shd w:val="clear" w:color="auto" w:fill="auto"/>
          <w:vertAlign w:val="superscript"/>
          <w:lang w:val="ru-RU" w:eastAsia="ru-RU" w:bidi="ru-RU"/>
        </w:rPr>
        <w:t>БХ</w:t>
      </w:r>
      <w:r>
        <w:rPr>
          <w:rFonts w:ascii="Arial" w:eastAsia="Arial" w:hAnsi="Arial" w:cs="Arial"/>
          <w:color w:val="000000"/>
          <w:spacing w:val="0"/>
          <w:w w:val="100"/>
          <w:position w:val="0"/>
          <w:sz w:val="58"/>
          <w:szCs w:val="58"/>
          <w:shd w:val="clear" w:color="auto" w:fill="auto"/>
          <w:lang w:val="ru-RU" w:eastAsia="ru-RU" w:bidi="ru-RU"/>
        </w:rPr>
        <w:t>=</w:t>
      </w:r>
      <w:r>
        <w:rPr>
          <w:rFonts w:ascii="Arial" w:eastAsia="Arial" w:hAnsi="Arial" w:cs="Arial"/>
          <w:color w:val="000000"/>
          <w:spacing w:val="0"/>
          <w:w w:val="100"/>
          <w:position w:val="0"/>
          <w:sz w:val="30"/>
          <w:szCs w:val="30"/>
          <w:shd w:val="clear" w:color="auto" w:fill="auto"/>
          <w:lang w:val="ru-RU" w:eastAsia="ru-RU" w:bidi="ru-RU"/>
        </w:rPr>
        <w:t xml:space="preserve">( </w:t>
      </w:r>
      <w:r>
        <w:rPr>
          <w:color w:val="000000"/>
          <w:spacing w:val="0"/>
          <w:w w:val="100"/>
          <w:position w:val="0"/>
          <w:sz w:val="14"/>
          <w:szCs w:val="14"/>
          <w:shd w:val="clear" w:color="auto" w:fill="auto"/>
          <w:vertAlign w:val="superscript"/>
          <w:lang w:val="ru-RU" w:eastAsia="ru-RU" w:bidi="ru-RU"/>
        </w:rPr>
        <w:t>Х</w:t>
      </w:r>
      <w:r>
        <w:rPr>
          <w:rFonts w:ascii="Arial" w:eastAsia="Arial" w:hAnsi="Arial" w:cs="Arial"/>
          <w:color w:val="000000"/>
          <w:spacing w:val="0"/>
          <w:w w:val="100"/>
          <w:position w:val="0"/>
          <w:sz w:val="58"/>
          <w:szCs w:val="58"/>
          <w:shd w:val="clear" w:color="auto" w:fill="auto"/>
          <w:lang w:val="ru-RU" w:eastAsia="ru-RU" w:bidi="ru-RU"/>
        </w:rPr>
        <w:t>-</w:t>
      </w:r>
      <w:r>
        <w:rPr>
          <w:b/>
          <w:bCs/>
          <w:color w:val="000000"/>
          <w:spacing w:val="0"/>
          <w:w w:val="100"/>
          <w:position w:val="0"/>
          <w:sz w:val="14"/>
          <w:szCs w:val="14"/>
          <w:shd w:val="clear" w:color="auto" w:fill="auto"/>
          <w:lang w:val="ru-RU" w:eastAsia="ru-RU" w:bidi="ru-RU"/>
        </w:rPr>
        <w:t>Х</w:t>
      </w:r>
      <w:r>
        <w:rPr>
          <w:color w:val="000000"/>
          <w:spacing w:val="0"/>
          <w:w w:val="100"/>
          <w:position w:val="0"/>
          <w:sz w:val="14"/>
          <w:szCs w:val="14"/>
          <w:shd w:val="clear" w:color="auto" w:fill="auto"/>
          <w:lang w:val="ru-RU" w:eastAsia="ru-RU" w:bidi="ru-RU"/>
        </w:rPr>
        <w:t>тП</w:t>
      </w:r>
      <w:r>
        <w:rPr>
          <w:rFonts w:ascii="Arial" w:eastAsia="Arial" w:hAnsi="Arial" w:cs="Arial"/>
          <w:color w:val="000000"/>
          <w:spacing w:val="0"/>
          <w:w w:val="100"/>
          <w:position w:val="0"/>
          <w:sz w:val="30"/>
          <w:szCs w:val="30"/>
          <w:shd w:val="clear" w:color="auto" w:fill="auto"/>
          <w:lang w:val="ru-RU" w:eastAsia="ru-RU" w:bidi="ru-RU"/>
        </w:rPr>
        <w:t xml:space="preserve">) </w:t>
      </w:r>
      <w:r>
        <w:rPr>
          <w:b/>
          <w:bCs/>
          <w:color w:val="000000"/>
          <w:spacing w:val="0"/>
          <w:w w:val="100"/>
          <w:position w:val="0"/>
          <w:sz w:val="14"/>
          <w:szCs w:val="14"/>
          <w:shd w:val="clear" w:color="auto" w:fill="auto"/>
          <w:lang w:val="ru-RU" w:eastAsia="ru-RU" w:bidi="ru-RU"/>
        </w:rPr>
        <w:t>*</w:t>
        <w:tab/>
      </w:r>
      <w:r>
        <w:rPr>
          <w:strike/>
          <w:color w:val="000000"/>
          <w:spacing w:val="0"/>
          <w:w w:val="100"/>
          <w:position w:val="0"/>
          <w:sz w:val="38"/>
          <w:szCs w:val="38"/>
          <w:shd w:val="clear" w:color="auto" w:fill="auto"/>
          <w:lang w:val="ru-RU" w:eastAsia="ru-RU" w:bidi="ru-RU"/>
        </w:rPr>
        <w:t>Р1</w:t>
      </w:r>
      <w:r>
        <w:rPr>
          <w:strike/>
          <w:color w:val="000000"/>
          <w:spacing w:val="0"/>
          <w:w w:val="100"/>
          <w:position w:val="0"/>
          <w:sz w:val="38"/>
          <w:szCs w:val="38"/>
          <w:shd w:val="clear" w:color="auto" w:fill="auto"/>
          <w:vertAlign w:val="superscript"/>
          <w:lang w:val="ru-RU" w:eastAsia="ru-RU" w:bidi="ru-RU"/>
        </w:rPr>
        <w:t>00</w:t>
      </w:r>
      <w:bookmarkEnd w:id="2"/>
    </w:p>
    <w:p>
      <w:pPr>
        <w:pStyle w:val="Style38"/>
        <w:keepNext w:val="0"/>
        <w:keepLines w:val="0"/>
        <w:widowControl w:val="0"/>
        <w:shd w:val="clear" w:color="auto" w:fill="auto"/>
        <w:bidi w:val="0"/>
        <w:spacing w:before="0" w:after="0" w:line="240" w:lineRule="auto"/>
        <w:ind w:left="2520" w:right="0" w:firstLine="0"/>
        <w:jc w:val="both"/>
      </w:pPr>
      <w:r>
        <w:rPr>
          <w:b/>
          <w:bCs/>
          <w:color w:val="000000"/>
          <w:spacing w:val="0"/>
          <w:w w:val="100"/>
          <w:position w:val="0"/>
          <w:sz w:val="14"/>
          <w:szCs w:val="14"/>
          <w:shd w:val="clear" w:color="auto" w:fill="auto"/>
          <w:lang w:val="ru-RU" w:eastAsia="ru-RU" w:bidi="ru-RU"/>
        </w:rPr>
        <w:t>Х</w:t>
      </w:r>
      <w:r>
        <w:rPr>
          <w:color w:val="000000"/>
          <w:spacing w:val="0"/>
          <w:w w:val="100"/>
          <w:position w:val="0"/>
          <w:shd w:val="clear" w:color="auto" w:fill="auto"/>
          <w:lang w:val="ru-RU" w:eastAsia="ru-RU" w:bidi="ru-RU"/>
        </w:rPr>
        <w:t xml:space="preserve">тах </w:t>
      </w:r>
      <w:r>
        <w:rPr>
          <w:color w:val="000000"/>
          <w:spacing w:val="0"/>
          <w:w w:val="100"/>
          <w:position w:val="0"/>
          <w:shd w:val="clear" w:color="auto" w:fill="auto"/>
          <w:vertAlign w:val="superscript"/>
          <w:lang w:val="ru-RU" w:eastAsia="ru-RU" w:bidi="ru-RU"/>
        </w:rPr>
        <w:t>Х</w:t>
      </w:r>
      <w:r>
        <w:rPr>
          <w:color w:val="000000"/>
          <w:spacing w:val="0"/>
          <w:w w:val="100"/>
          <w:position w:val="0"/>
          <w:shd w:val="clear" w:color="auto" w:fill="auto"/>
          <w:lang w:val="ru-RU" w:eastAsia="ru-RU" w:bidi="ru-RU"/>
        </w:rPr>
        <w:t>т П</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где:</w:t>
      </w:r>
    </w:p>
    <w:p>
      <w:pPr>
        <w:pStyle w:val="Style14"/>
        <w:keepNext w:val="0"/>
        <w:keepLines w:val="0"/>
        <w:widowControl w:val="0"/>
        <w:shd w:val="clear" w:color="auto" w:fill="auto"/>
        <w:bidi w:val="0"/>
        <w:spacing w:before="0" w:after="60" w:line="240" w:lineRule="auto"/>
        <w:ind w:left="0" w:right="0" w:firstLine="720"/>
        <w:jc w:val="both"/>
      </w:pPr>
      <w:r>
        <w:rPr>
          <w:color w:val="000000"/>
          <w:spacing w:val="0"/>
          <w:w w:val="100"/>
          <w:position w:val="0"/>
          <w:shd w:val="clear" w:color="auto" w:fill="auto"/>
          <w:lang w:val="ru-RU" w:eastAsia="ru-RU" w:bidi="ru-RU"/>
        </w:rPr>
        <w:t>Х</w:t>
      </w:r>
      <w:r>
        <w:rPr>
          <w:rFonts w:ascii="Arial" w:eastAsia="Arial" w:hAnsi="Arial" w:cs="Arial"/>
          <w:color w:val="000000"/>
          <w:spacing w:val="0"/>
          <w:w w:val="100"/>
          <w:position w:val="0"/>
          <w:sz w:val="12"/>
          <w:szCs w:val="12"/>
          <w:shd w:val="clear" w:color="auto" w:fill="auto"/>
          <w:lang w:val="ru-RU" w:eastAsia="ru-RU" w:bidi="ru-RU"/>
        </w:rPr>
        <w:t xml:space="preserve">^ </w:t>
      </w:r>
      <w:r>
        <w:rPr>
          <w:color w:val="000000"/>
          <w:spacing w:val="0"/>
          <w:w w:val="100"/>
          <w:position w:val="0"/>
          <w:shd w:val="clear" w:color="auto" w:fill="auto"/>
          <w:lang w:val="ru-RU" w:eastAsia="ru-RU" w:bidi="ru-RU"/>
        </w:rPr>
        <w:t>- значение показателя, содержащееся в предложении участника закупки, заявка которого подлежит оценке по показателю.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пред. мин</w:t>
      </w:r>
      <w:r>
        <w:rPr>
          <w:color w:val="000000"/>
          <w:spacing w:val="0"/>
          <w:w w:val="100"/>
          <w:position w:val="0"/>
          <w:shd w:val="clear" w:color="auto" w:fill="auto"/>
          <w:lang w:val="ru-RU" w:eastAsia="ru-RU" w:bidi="ru-RU"/>
        </w:rPr>
        <w:t>.- предельное минимальное значение характеристики объекта закупки, установленное заказчиком 5 шт.</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пред. макс</w:t>
      </w:r>
      <w:r>
        <w:rPr>
          <w:color w:val="000000"/>
          <w:spacing w:val="0"/>
          <w:w w:val="100"/>
          <w:position w:val="0"/>
          <w:shd w:val="clear" w:color="auto" w:fill="auto"/>
          <w:lang w:val="ru-RU" w:eastAsia="ru-RU" w:bidi="ru-RU"/>
        </w:rPr>
        <w:t>. - предельное максимальное значение характеристики объекта закупки, установленное заказчиком 10 шт.</w:t>
      </w:r>
    </w:p>
    <w:p>
      <w:pPr>
        <w:pStyle w:val="Style14"/>
        <w:keepNext w:val="0"/>
        <w:keepLines w:val="0"/>
        <w:widowControl w:val="0"/>
        <w:shd w:val="clear" w:color="auto" w:fill="auto"/>
        <w:bidi w:val="0"/>
        <w:spacing w:before="0" w:after="0" w:line="240" w:lineRule="auto"/>
        <w:ind w:left="0" w:right="0" w:firstLine="720"/>
        <w:jc w:val="both"/>
        <w:rPr>
          <w:sz w:val="12"/>
          <w:szCs w:val="12"/>
        </w:rPr>
      </w:pPr>
      <w:r>
        <w:rPr>
          <w:color w:val="000000"/>
          <w:spacing w:val="0"/>
          <w:w w:val="100"/>
          <w:position w:val="0"/>
          <w:sz w:val="26"/>
          <w:szCs w:val="26"/>
          <w:shd w:val="clear" w:color="auto" w:fill="auto"/>
          <w:lang w:val="ru-RU" w:eastAsia="ru-RU" w:bidi="ru-RU"/>
        </w:rPr>
        <w:t xml:space="preserve">Из содержания указанного порядка расчета следует, что заказчиком применена формула по подпункту з) пункта 20 Положения об оценке заявок на участие в закупке </w:t>
      </w:r>
      <w:r>
        <w:rPr>
          <w:rFonts w:ascii="Arial" w:eastAsia="Arial" w:hAnsi="Arial" w:cs="Arial"/>
          <w:color w:val="000000"/>
          <w:spacing w:val="0"/>
          <w:w w:val="100"/>
          <w:position w:val="0"/>
          <w:sz w:val="12"/>
          <w:szCs w:val="12"/>
          <w:shd w:val="clear" w:color="auto" w:fill="auto"/>
          <w:vertAlign w:val="subscript"/>
          <w:lang w:val="ru-RU" w:eastAsia="ru-RU" w:bidi="ru-RU"/>
        </w:rPr>
        <w:t>Х</w:t>
      </w:r>
      <w:r>
        <w:rPr>
          <w:rFonts w:ascii="Arial" w:eastAsia="Arial" w:hAnsi="Arial" w:cs="Arial"/>
          <w:color w:val="000000"/>
          <w:spacing w:val="0"/>
          <w:w w:val="100"/>
          <w:position w:val="0"/>
          <w:sz w:val="12"/>
          <w:szCs w:val="12"/>
          <w:shd w:val="clear" w:color="auto" w:fill="auto"/>
          <w:lang w:val="ru-RU" w:eastAsia="ru-RU" w:bidi="ru-RU"/>
        </w:rPr>
        <w:t>пред</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(несмотря на то, что в формуле указано указано «Х</w:t>
      </w:r>
      <w:r>
        <w:rPr>
          <w:rFonts w:ascii="Arial" w:eastAsia="Arial" w:hAnsi="Arial" w:cs="Arial"/>
          <w:color w:val="000000"/>
          <w:spacing w:val="0"/>
          <w:w w:val="100"/>
          <w:position w:val="0"/>
          <w:sz w:val="12"/>
          <w:szCs w:val="12"/>
          <w:shd w:val="clear" w:color="auto" w:fill="auto"/>
          <w:vertAlign w:val="subscript"/>
          <w:lang w:val="ru-RU" w:eastAsia="ru-RU" w:bidi="ru-RU"/>
        </w:rPr>
        <w:t>т</w:t>
      </w:r>
      <w:r>
        <w:rPr>
          <w:rFonts w:ascii="Arial" w:eastAsia="Arial" w:hAnsi="Arial" w:cs="Arial"/>
          <w:color w:val="000000"/>
          <w:spacing w:val="0"/>
          <w:w w:val="100"/>
          <w:position w:val="0"/>
          <w:sz w:val="12"/>
          <w:szCs w:val="12"/>
          <w:shd w:val="clear" w:color="auto" w:fill="auto"/>
          <w:lang w:val="ru-RU" w:eastAsia="ru-RU" w:bidi="ru-RU"/>
        </w:rPr>
        <w:t xml:space="preserve">ь» </w:t>
      </w:r>
      <w:r>
        <w:rPr>
          <w:color w:val="000000"/>
          <w:spacing w:val="0"/>
          <w:w w:val="100"/>
          <w:position w:val="0"/>
          <w:sz w:val="24"/>
          <w:szCs w:val="24"/>
          <w:shd w:val="clear" w:color="auto" w:fill="auto"/>
          <w:lang w:val="ru-RU" w:eastAsia="ru-RU" w:bidi="ru-RU"/>
        </w:rPr>
        <w:t xml:space="preserve">вместо </w:t>
      </w:r>
      <w:r>
        <w:rPr>
          <w:color w:val="000000"/>
          <w:spacing w:val="0"/>
          <w:w w:val="100"/>
          <w:position w:val="0"/>
          <w:sz w:val="24"/>
          <w:szCs w:val="24"/>
          <w:shd w:val="clear" w:color="auto" w:fill="auto"/>
          <w:vertAlign w:val="superscript"/>
          <w:lang w:val="ru-RU" w:eastAsia="ru-RU" w:bidi="ru-RU"/>
        </w:rPr>
        <w:t>тт</w:t>
      </w:r>
      <w:r>
        <w:rPr>
          <w:color w:val="000000"/>
          <w:spacing w:val="0"/>
          <w:w w:val="100"/>
          <w:position w:val="0"/>
          <w:sz w:val="24"/>
          <w:szCs w:val="24"/>
          <w:shd w:val="clear" w:color="auto" w:fill="auto"/>
          <w:lang w:val="ru-RU" w:eastAsia="ru-RU" w:bidi="ru-RU"/>
        </w:rPr>
        <w:t xml:space="preserve"> </w:t>
      </w:r>
      <w:r>
        <w:rPr>
          <w:rFonts w:ascii="Arial" w:eastAsia="Arial" w:hAnsi="Arial" w:cs="Arial"/>
          <w:color w:val="000000"/>
          <w:spacing w:val="0"/>
          <w:w w:val="100"/>
          <w:position w:val="0"/>
          <w:sz w:val="12"/>
          <w:szCs w:val="12"/>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в расшифровке значений </w:t>
      </w:r>
      <w:r>
        <w:rPr>
          <w:color w:val="000000"/>
          <w:spacing w:val="0"/>
          <w:w w:val="100"/>
          <w:position w:val="0"/>
          <w:shd w:val="clear" w:color="auto" w:fill="auto"/>
          <w:lang w:val="ru-RU" w:eastAsia="ru-RU" w:bidi="ru-RU"/>
        </w:rPr>
        <w:t xml:space="preserve">показателей формулы указано, что заказчиком </w:t>
      </w:r>
      <w:r>
        <w:rPr>
          <w:color w:val="000000"/>
          <w:spacing w:val="0"/>
          <w:w w:val="100"/>
          <w:position w:val="0"/>
          <w:sz w:val="24"/>
          <w:szCs w:val="24"/>
          <w:shd w:val="clear" w:color="auto" w:fill="auto"/>
          <w:lang w:val="ru-RU" w:eastAsia="ru-RU" w:bidi="ru-RU"/>
        </w:rPr>
        <w:t xml:space="preserve">установлены предельное </w:t>
      </w:r>
      <w:r>
        <w:rPr>
          <w:color w:val="000000"/>
          <w:spacing w:val="0"/>
          <w:w w:val="100"/>
          <w:position w:val="0"/>
          <w:shd w:val="clear" w:color="auto" w:fill="auto"/>
          <w:lang w:val="ru-RU" w:eastAsia="ru-RU" w:bidi="ru-RU"/>
        </w:rPr>
        <w:t>минимальное значение характеристики объекта закупки и предельное максимальное значение характеристики объекта закупки).</w:t>
      </w:r>
    </w:p>
    <w:p>
      <w:pPr>
        <w:pStyle w:val="Style14"/>
        <w:keepNext w:val="0"/>
        <w:keepLines w:val="0"/>
        <w:widowControl w:val="0"/>
        <w:shd w:val="clear" w:color="auto" w:fill="auto"/>
        <w:bidi w:val="0"/>
        <w:spacing w:before="0" w:after="0" w:line="240" w:lineRule="auto"/>
        <w:ind w:left="0" w:right="0" w:firstLine="720"/>
        <w:jc w:val="both"/>
        <w:rPr>
          <w:sz w:val="15"/>
          <w:szCs w:val="15"/>
        </w:rPr>
      </w:pPr>
      <w:r>
        <w:rPr>
          <w:color w:val="000000"/>
          <w:spacing w:val="0"/>
          <w:w w:val="100"/>
          <w:position w:val="0"/>
          <w:sz w:val="26"/>
          <w:szCs w:val="26"/>
          <w:shd w:val="clear" w:color="auto" w:fill="auto"/>
          <w:lang w:val="ru-RU" w:eastAsia="ru-RU" w:bidi="ru-RU"/>
        </w:rPr>
        <w:t xml:space="preserve">По показателю оценки «наличие у участников закупки специалистов и иных работников определенного уровня квалификации», применен детализирующий показатель </w:t>
      </w:r>
      <w:r>
        <w:rPr>
          <w:color w:val="000000"/>
          <w:spacing w:val="0"/>
          <w:w w:val="100"/>
          <w:position w:val="0"/>
          <w:sz w:val="26"/>
          <w:szCs w:val="26"/>
          <w:shd w:val="clear" w:color="auto" w:fill="auto"/>
          <w:lang w:val="ru-RU" w:eastAsia="ru-RU" w:bidi="ru-RU"/>
        </w:rPr>
        <w:t xml:space="preserve">«количество у участника закупки трудоустроенных на основании трудовых договоров аттестованных аудиторов», а также приведен порядок расчета: Лучшим является наибольшее значение характеристики объекта закупки и установлено предельное </w:t>
      </w:r>
      <w:r>
        <w:rPr>
          <w:color w:val="000000"/>
          <w:spacing w:val="0"/>
          <w:w w:val="100"/>
          <w:position w:val="0"/>
          <w:sz w:val="15"/>
          <w:szCs w:val="15"/>
          <w:shd w:val="clear" w:color="auto" w:fill="auto"/>
          <w:vertAlign w:val="subscript"/>
          <w:lang w:val="ru-RU" w:eastAsia="ru-RU" w:bidi="ru-RU"/>
        </w:rPr>
        <w:t>Х</w:t>
      </w:r>
      <w:r>
        <w:rPr>
          <w:color w:val="000000"/>
          <w:spacing w:val="0"/>
          <w:w w:val="100"/>
          <w:position w:val="0"/>
          <w:sz w:val="15"/>
          <w:szCs w:val="15"/>
          <w:shd w:val="clear" w:color="auto" w:fill="auto"/>
          <w:lang w:val="ru-RU" w:eastAsia="ru-RU" w:bidi="ru-RU"/>
        </w:rPr>
        <w:t>пред</w:t>
      </w:r>
    </w:p>
    <w:p>
      <w:pPr>
        <w:pStyle w:val="Style14"/>
        <w:keepNext w:val="0"/>
        <w:keepLines w:val="0"/>
        <w:widowControl w:val="0"/>
        <w:shd w:val="clear" w:color="auto" w:fill="auto"/>
        <w:bidi w:val="0"/>
        <w:spacing w:before="0" w:after="0" w:line="221" w:lineRule="auto"/>
        <w:ind w:left="0" w:right="0" w:firstLine="0"/>
        <w:jc w:val="both"/>
      </w:pPr>
      <w:r>
        <w:rPr>
          <w:color w:val="000000"/>
          <w:spacing w:val="0"/>
          <w:w w:val="100"/>
          <w:position w:val="0"/>
          <w:shd w:val="clear" w:color="auto" w:fill="auto"/>
          <w:lang w:val="ru-RU" w:eastAsia="ru-RU" w:bidi="ru-RU"/>
        </w:rPr>
        <w:t xml:space="preserve">максимальное значение ( </w:t>
      </w:r>
      <w:r>
        <w:rPr>
          <w:color w:val="000000"/>
          <w:spacing w:val="0"/>
          <w:w w:val="100"/>
          <w:position w:val="0"/>
          <w:shd w:val="clear" w:color="auto" w:fill="auto"/>
          <w:vertAlign w:val="superscript"/>
          <w:lang w:val="ru-RU" w:eastAsia="ru-RU" w:bidi="ru-RU"/>
        </w:rPr>
        <w:t>тах</w:t>
      </w:r>
      <w:r>
        <w:rPr>
          <w:color w:val="000000"/>
          <w:spacing w:val="0"/>
          <w:w w:val="100"/>
          <w:position w:val="0"/>
          <w:shd w:val="clear" w:color="auto" w:fill="auto"/>
          <w:lang w:val="ru-RU" w:eastAsia="ru-RU" w:bidi="ru-RU"/>
        </w:rPr>
        <w:t xml:space="preserve"> ) характеристики объекта закупки, - по формуле:</w:t>
      </w:r>
    </w:p>
    <w:p>
      <w:pPr>
        <w:pStyle w:val="Style32"/>
        <w:keepNext/>
        <w:keepLines/>
        <w:widowControl w:val="0"/>
        <w:shd w:val="clear" w:color="auto" w:fill="auto"/>
        <w:tabs>
          <w:tab w:pos="2069" w:val="left"/>
        </w:tabs>
        <w:bidi w:val="0"/>
        <w:spacing w:before="0" w:after="0" w:line="240" w:lineRule="auto"/>
        <w:ind w:left="0" w:right="0" w:firstLine="0"/>
        <w:jc w:val="left"/>
        <w:rPr>
          <w:sz w:val="40"/>
          <w:szCs w:val="40"/>
        </w:rPr>
      </w:pPr>
      <w:bookmarkStart w:id="4" w:name="bookmark4"/>
      <w:r>
        <w:rPr>
          <w:rFonts w:ascii="Arial" w:eastAsia="Arial" w:hAnsi="Arial" w:cs="Arial"/>
          <w:i w:val="0"/>
          <w:iCs w:val="0"/>
          <w:color w:val="000000"/>
          <w:spacing w:val="0"/>
          <w:w w:val="100"/>
          <w:position w:val="0"/>
          <w:sz w:val="32"/>
          <w:szCs w:val="32"/>
          <w:shd w:val="clear" w:color="auto" w:fill="auto"/>
          <w:lang w:val="ru-RU" w:eastAsia="ru-RU" w:bidi="ru-RU"/>
        </w:rPr>
        <w:t xml:space="preserve">К=( </w:t>
      </w:r>
      <w:r>
        <w:rPr>
          <w:b/>
          <w:bCs/>
          <w:color w:val="000000"/>
          <w:spacing w:val="0"/>
          <w:w w:val="100"/>
          <w:position w:val="0"/>
          <w:sz w:val="14"/>
          <w:szCs w:val="14"/>
          <w:shd w:val="clear" w:color="auto" w:fill="auto"/>
          <w:lang w:val="ru-RU" w:eastAsia="ru-RU" w:bidi="ru-RU"/>
        </w:rPr>
        <w:t>Х</w:t>
      </w:r>
      <w:r>
        <w:rPr>
          <w:rFonts w:ascii="Arial" w:eastAsia="Arial" w:hAnsi="Arial" w:cs="Arial"/>
          <w:color w:val="000000"/>
          <w:spacing w:val="0"/>
          <w:w w:val="100"/>
          <w:position w:val="0"/>
          <w:sz w:val="58"/>
          <w:szCs w:val="58"/>
          <w:shd w:val="clear" w:color="auto" w:fill="auto"/>
          <w:lang w:val="ru-RU" w:eastAsia="ru-RU" w:bidi="ru-RU"/>
        </w:rPr>
        <w:t xml:space="preserve">- </w:t>
      </w:r>
      <w:r>
        <w:rPr>
          <w:b/>
          <w:bCs/>
          <w:color w:val="000000"/>
          <w:spacing w:val="0"/>
          <w:w w:val="100"/>
          <w:position w:val="0"/>
          <w:sz w:val="14"/>
          <w:szCs w:val="14"/>
          <w:shd w:val="clear" w:color="auto" w:fill="auto"/>
          <w:lang w:val="ru-RU" w:eastAsia="ru-RU" w:bidi="ru-RU"/>
        </w:rPr>
        <w:t>Х</w:t>
      </w:r>
      <w:r>
        <w:rPr>
          <w:color w:val="000000"/>
          <w:spacing w:val="0"/>
          <w:w w:val="100"/>
          <w:position w:val="0"/>
          <w:sz w:val="14"/>
          <w:szCs w:val="14"/>
          <w:shd w:val="clear" w:color="auto" w:fill="auto"/>
          <w:lang w:val="ru-RU" w:eastAsia="ru-RU" w:bidi="ru-RU"/>
        </w:rPr>
        <w:t>т,п</w:t>
      </w:r>
      <w:r>
        <w:rPr>
          <w:rFonts w:ascii="Arial" w:eastAsia="Arial" w:hAnsi="Arial" w:cs="Arial"/>
          <w:i w:val="0"/>
          <w:iCs w:val="0"/>
          <w:color w:val="000000"/>
          <w:spacing w:val="0"/>
          <w:w w:val="100"/>
          <w:position w:val="0"/>
          <w:sz w:val="32"/>
          <w:szCs w:val="32"/>
          <w:shd w:val="clear" w:color="auto" w:fill="auto"/>
          <w:lang w:val="ru-RU" w:eastAsia="ru-RU" w:bidi="ru-RU"/>
        </w:rPr>
        <w:t xml:space="preserve">) </w:t>
      </w:r>
      <w:r>
        <w:rPr>
          <w:b/>
          <w:bCs/>
          <w:color w:val="000000"/>
          <w:spacing w:val="0"/>
          <w:w w:val="100"/>
          <w:position w:val="0"/>
          <w:sz w:val="14"/>
          <w:szCs w:val="14"/>
          <w:shd w:val="clear" w:color="auto" w:fill="auto"/>
          <w:lang w:val="ru-RU" w:eastAsia="ru-RU" w:bidi="ru-RU"/>
        </w:rPr>
        <w:t>X</w:t>
        <w:tab/>
      </w:r>
      <w:r>
        <w:rPr>
          <w:strike/>
          <w:color w:val="000000"/>
          <w:spacing w:val="0"/>
          <w:w w:val="100"/>
          <w:position w:val="0"/>
          <w:sz w:val="40"/>
          <w:szCs w:val="40"/>
          <w:shd w:val="clear" w:color="auto" w:fill="auto"/>
          <w:lang w:val="ru-RU" w:eastAsia="ru-RU" w:bidi="ru-RU"/>
        </w:rPr>
        <w:t>*</w:t>
      </w:r>
      <w:r>
        <w:rPr>
          <w:strike/>
          <w:color w:val="000000"/>
          <w:spacing w:val="0"/>
          <w:w w:val="100"/>
          <w:position w:val="0"/>
          <w:sz w:val="40"/>
          <w:szCs w:val="40"/>
          <w:shd w:val="clear" w:color="auto" w:fill="auto"/>
          <w:vertAlign w:val="superscript"/>
          <w:lang w:val="ru-RU" w:eastAsia="ru-RU" w:bidi="ru-RU"/>
        </w:rPr>
        <w:t>00</w:t>
      </w:r>
      <w:bookmarkEnd w:id="4"/>
    </w:p>
    <w:p>
      <w:pPr>
        <w:pStyle w:val="Style38"/>
        <w:keepNext w:val="0"/>
        <w:keepLines w:val="0"/>
        <w:widowControl w:val="0"/>
        <w:shd w:val="clear" w:color="auto" w:fill="auto"/>
        <w:bidi w:val="0"/>
        <w:spacing w:before="0" w:after="0" w:line="240" w:lineRule="auto"/>
        <w:ind w:right="0" w:firstLine="0"/>
        <w:jc w:val="both"/>
      </w:pPr>
      <w:r>
        <w:rPr>
          <w:b/>
          <w:bCs/>
          <w:color w:val="000000"/>
          <w:spacing w:val="0"/>
          <w:w w:val="100"/>
          <w:position w:val="0"/>
          <w:sz w:val="14"/>
          <w:szCs w:val="14"/>
          <w:shd w:val="clear" w:color="auto" w:fill="auto"/>
          <w:lang w:val="ru-RU" w:eastAsia="ru-RU" w:bidi="ru-RU"/>
        </w:rPr>
        <w:t>Х</w:t>
      </w:r>
      <w:r>
        <w:rPr>
          <w:color w:val="000000"/>
          <w:spacing w:val="0"/>
          <w:w w:val="100"/>
          <w:position w:val="0"/>
          <w:shd w:val="clear" w:color="auto" w:fill="auto"/>
          <w:lang w:val="ru-RU" w:eastAsia="ru-RU" w:bidi="ru-RU"/>
        </w:rPr>
        <w:t xml:space="preserve">тах </w:t>
      </w:r>
      <w:r>
        <w:rPr>
          <w:b/>
          <w:bCs/>
          <w:color w:val="000000"/>
          <w:spacing w:val="0"/>
          <w:w w:val="100"/>
          <w:position w:val="0"/>
          <w:sz w:val="14"/>
          <w:szCs w:val="14"/>
          <w:shd w:val="clear" w:color="auto" w:fill="auto"/>
          <w:lang w:val="ru-RU" w:eastAsia="ru-RU" w:bidi="ru-RU"/>
        </w:rPr>
        <w:t>Х</w:t>
      </w:r>
      <w:r>
        <w:rPr>
          <w:color w:val="000000"/>
          <w:spacing w:val="0"/>
          <w:w w:val="100"/>
          <w:position w:val="0"/>
          <w:shd w:val="clear" w:color="auto" w:fill="auto"/>
          <w:lang w:val="ru-RU" w:eastAsia="ru-RU" w:bidi="ru-RU"/>
        </w:rPr>
        <w:t>т П</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где: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Х1 - значение показателя, содержащееся в предложении участника закупки, заявка которого подлежит оценке по показателю.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пред. мин.</w:t>
      </w:r>
      <w:r>
        <w:rPr>
          <w:color w:val="000000"/>
          <w:spacing w:val="0"/>
          <w:w w:val="100"/>
          <w:position w:val="0"/>
          <w:shd w:val="clear" w:color="auto" w:fill="auto"/>
          <w:lang w:val="ru-RU" w:eastAsia="ru-RU" w:bidi="ru-RU"/>
        </w:rPr>
        <w:t>- предельное минимальное значение характеристики объекта закупки, установленное заказчиком 3 аудиторов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Х </w:t>
      </w:r>
      <w:r>
        <w:rPr>
          <w:i/>
          <w:iCs/>
          <w:color w:val="000000"/>
          <w:spacing w:val="0"/>
          <w:w w:val="100"/>
          <w:position w:val="0"/>
          <w:shd w:val="clear" w:color="auto" w:fill="auto"/>
          <w:lang w:val="ru-RU" w:eastAsia="ru-RU" w:bidi="ru-RU"/>
        </w:rPr>
        <w:t>пред. макс.</w:t>
      </w:r>
      <w:r>
        <w:rPr>
          <w:color w:val="000000"/>
          <w:spacing w:val="0"/>
          <w:w w:val="100"/>
          <w:position w:val="0"/>
          <w:shd w:val="clear" w:color="auto" w:fill="auto"/>
          <w:lang w:val="ru-RU" w:eastAsia="ru-RU" w:bidi="ru-RU"/>
        </w:rPr>
        <w:t xml:space="preserve"> - предельное максимальное значение характеристики объекта закупки, установленное заказчиком 5 аудиторов</w:t>
      </w:r>
    </w:p>
    <w:p>
      <w:pPr>
        <w:pStyle w:val="Style14"/>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 xml:space="preserve">Из содержания указанного порядка расчета следует, что заказчиком применена формула по подпункту з) пункта 20 Положения об оценке заявок на участие в закупке (несмотря на то, что в формуле указано указано «Хт» вместо </w:t>
      </w:r>
      <w:r>
        <w:rPr>
          <w:color w:val="000000"/>
          <w:spacing w:val="0"/>
          <w:w w:val="100"/>
          <w:position w:val="0"/>
          <w:sz w:val="22"/>
          <w:szCs w:val="22"/>
          <w:shd w:val="clear" w:color="auto" w:fill="auto"/>
          <w:lang w:val="ru-RU" w:eastAsia="ru-RU" w:bidi="ru-RU"/>
        </w:rPr>
        <w:t>Х</w:t>
      </w:r>
      <w:r>
        <w:rPr>
          <w:rFonts w:ascii="Arial" w:eastAsia="Arial" w:hAnsi="Arial" w:cs="Arial"/>
          <w:color w:val="000000"/>
          <w:spacing w:val="0"/>
          <w:w w:val="100"/>
          <w:position w:val="0"/>
          <w:sz w:val="12"/>
          <w:szCs w:val="12"/>
          <w:shd w:val="clear" w:color="auto" w:fill="auto"/>
          <w:vertAlign w:val="superscript"/>
          <w:lang w:val="ru-RU" w:eastAsia="ru-RU" w:bidi="ru-RU"/>
        </w:rPr>
        <w:t>тт</w:t>
      </w:r>
      <w:r>
        <w:rPr>
          <w:rFonts w:ascii="Arial" w:eastAsia="Arial" w:hAnsi="Arial" w:cs="Arial"/>
          <w:color w:val="000000"/>
          <w:spacing w:val="0"/>
          <w:w w:val="100"/>
          <w:position w:val="0"/>
          <w:sz w:val="12"/>
          <w:szCs w:val="12"/>
          <w:shd w:val="clear" w:color="auto" w:fill="auto"/>
          <w:lang w:val="ru-RU" w:eastAsia="ru-RU" w:bidi="ru-RU"/>
        </w:rPr>
        <w:t xml:space="preserve"> , </w:t>
      </w:r>
      <w:r>
        <w:rPr>
          <w:color w:val="000000"/>
          <w:spacing w:val="0"/>
          <w:w w:val="100"/>
          <w:position w:val="0"/>
          <w:shd w:val="clear" w:color="auto" w:fill="auto"/>
          <w:lang w:val="ru-RU" w:eastAsia="ru-RU" w:bidi="ru-RU"/>
        </w:rPr>
        <w:t>в расшифровке значений показателей формулы указано, что заказчиком установлены предельное минимальное значение характеристики объекта закупки и предельное максимальное значение характеристики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Положение о применении критерия оценки, показателя оценки, показателя оценки, детализирующего показатель оценки, содержатся в разделе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оценки заявок на участие в конкурсе (далее - Отдельные положения).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графе 2.1 Отдельных положений по показателю №1 оценки «Наличие у участников закупки опыта поставки товара, выполнения работы, оказания услуги, связанного с предметом контракта», детализирующий показатель 1 по показателю оценки - общее количество исполненных участником закупки контрактов/договоров, указано, наряду с прочим, что «начисление баллов производится только на основании документально подтверждённой информации, представленной участником в подтверждающем документе «Перечень контрактов/договоров, заявленных к оценке в составе заявки» (таблица № 1):</w:t>
      </w:r>
    </w:p>
    <w:p>
      <w:pPr>
        <w:pStyle w:val="Style3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vertAlign w:val="subscript"/>
          <w:lang w:val="ru-RU" w:eastAsia="ru-RU" w:bidi="ru-RU"/>
        </w:rPr>
        <w:t>Х</w:t>
      </w:r>
      <w:r>
        <w:rPr>
          <w:color w:val="000000"/>
          <w:spacing w:val="0"/>
          <w:w w:val="100"/>
          <w:position w:val="0"/>
          <w:shd w:val="clear" w:color="auto" w:fill="auto"/>
          <w:lang w:val="ru-RU" w:eastAsia="ru-RU" w:bidi="ru-RU"/>
        </w:rPr>
        <w:t xml:space="preserve"> пред</w:t>
      </w:r>
    </w:p>
    <w:p>
      <w:pPr>
        <w:pStyle w:val="Style14"/>
        <w:keepNext w:val="0"/>
        <w:keepLines w:val="0"/>
        <w:widowControl w:val="0"/>
        <w:shd w:val="clear" w:color="auto" w:fill="auto"/>
        <w:bidi w:val="0"/>
        <w:spacing w:before="0" w:after="0" w:line="180" w:lineRule="auto"/>
        <w:ind w:left="0" w:right="0" w:firstLine="0"/>
        <w:jc w:val="both"/>
      </w:pPr>
      <w:r>
        <w:rPr>
          <w:b/>
          <w:bCs/>
          <w:i/>
          <w:iCs/>
          <w:color w:val="000000"/>
          <w:spacing w:val="0"/>
          <w:w w:val="100"/>
          <w:position w:val="0"/>
          <w:sz w:val="14"/>
          <w:szCs w:val="14"/>
          <w:shd w:val="clear" w:color="auto" w:fill="auto"/>
          <w:lang w:val="ru-RU" w:eastAsia="ru-RU" w:bidi="ru-RU"/>
        </w:rPr>
        <w:t>Х</w:t>
      </w:r>
      <w:r>
        <w:rPr>
          <w:i/>
          <w:iCs/>
          <w:color w:val="000000"/>
          <w:spacing w:val="0"/>
          <w:w w:val="100"/>
          <w:position w:val="0"/>
          <w:sz w:val="14"/>
          <w:szCs w:val="14"/>
          <w:shd w:val="clear" w:color="auto" w:fill="auto"/>
          <w:lang w:val="ru-RU" w:eastAsia="ru-RU" w:bidi="ru-RU"/>
        </w:rPr>
        <w:t>тах</w:t>
      </w:r>
      <w:r>
        <w:rPr>
          <w:color w:val="000000"/>
          <w:spacing w:val="0"/>
          <w:w w:val="100"/>
          <w:position w:val="0"/>
          <w:shd w:val="clear" w:color="auto" w:fill="auto"/>
          <w:lang w:val="ru-RU" w:eastAsia="ru-RU" w:bidi="ru-RU"/>
        </w:rPr>
        <w:t xml:space="preserve"> 10».</w:t>
      </w:r>
    </w:p>
    <w:p>
      <w:pPr>
        <w:pStyle w:val="Style14"/>
        <w:keepNext w:val="0"/>
        <w:keepLines w:val="0"/>
        <w:widowControl w:val="0"/>
        <w:shd w:val="clear" w:color="auto" w:fill="auto"/>
        <w:bidi w:val="0"/>
        <w:spacing w:before="0" w:after="0" w:line="218" w:lineRule="auto"/>
        <w:ind w:left="0" w:right="0" w:firstLine="700"/>
        <w:jc w:val="both"/>
      </w:pPr>
      <w:r>
        <w:rPr>
          <w:color w:val="000000"/>
          <w:spacing w:val="0"/>
          <w:w w:val="100"/>
          <w:position w:val="0"/>
          <w:shd w:val="clear" w:color="auto" w:fill="auto"/>
          <w:lang w:val="ru-RU" w:eastAsia="ru-RU" w:bidi="ru-RU"/>
        </w:rPr>
        <w:t xml:space="preserve">В графе 2.2 Отдельных положений по показателю №2 оценки «Наличие у участников закупки специалистов и иных работников определенного уровня квалификации», детализирующий показатель 2 по показателю оценки - количество у участника закупки трудоустроенных на основании трудовых договоров аттестованных аудиторов, указано, наряду с прочим, что «предельное максимальное значение характеристики </w:t>
      </w:r>
      <w:r>
        <w:rPr>
          <w:i/>
          <w:iCs/>
          <w:color w:val="000000"/>
          <w:spacing w:val="0"/>
          <w:w w:val="100"/>
          <w:position w:val="0"/>
          <w:sz w:val="14"/>
          <w:szCs w:val="14"/>
          <w:shd w:val="clear" w:color="auto" w:fill="auto"/>
          <w:lang w:val="ru-RU" w:eastAsia="ru-RU" w:bidi="ru-RU"/>
        </w:rPr>
        <w:t xml:space="preserve">пред </w:t>
      </w:r>
      <w:r>
        <w:rPr>
          <w:color w:val="000000"/>
          <w:spacing w:val="0"/>
          <w:w w:val="100"/>
          <w:position w:val="0"/>
          <w:shd w:val="clear" w:color="auto" w:fill="auto"/>
          <w:lang w:val="ru-RU" w:eastAsia="ru-RU" w:bidi="ru-RU"/>
        </w:rPr>
        <w:t xml:space="preserve">детализирующего показателя оценки: </w:t>
      </w:r>
      <w:r>
        <w:rPr>
          <w:b/>
          <w:bCs/>
          <w:i/>
          <w:iCs/>
          <w:color w:val="000000"/>
          <w:spacing w:val="0"/>
          <w:w w:val="100"/>
          <w:position w:val="0"/>
          <w:sz w:val="14"/>
          <w:szCs w:val="14"/>
          <w:shd w:val="clear" w:color="auto" w:fill="auto"/>
          <w:lang w:val="ru-RU" w:eastAsia="ru-RU" w:bidi="ru-RU"/>
        </w:rPr>
        <w:t>Х</w:t>
      </w:r>
      <w:r>
        <w:rPr>
          <w:i/>
          <w:iCs/>
          <w:color w:val="000000"/>
          <w:spacing w:val="0"/>
          <w:w w:val="100"/>
          <w:position w:val="0"/>
          <w:sz w:val="14"/>
          <w:szCs w:val="14"/>
          <w:shd w:val="clear" w:color="auto" w:fill="auto"/>
          <w:lang w:val="ru-RU" w:eastAsia="ru-RU" w:bidi="ru-RU"/>
        </w:rPr>
        <w:t>т</w:t>
      </w:r>
      <w:r>
        <w:rPr>
          <w:i/>
          <w:iCs/>
          <w:color w:val="000000"/>
          <w:spacing w:val="0"/>
          <w:w w:val="100"/>
          <w:position w:val="0"/>
          <w:sz w:val="14"/>
          <w:szCs w:val="14"/>
          <w:shd w:val="clear" w:color="auto" w:fill="auto"/>
          <w:vertAlign w:val="subscript"/>
          <w:lang w:val="ru-RU" w:eastAsia="ru-RU" w:bidi="ru-RU"/>
        </w:rPr>
        <w:t>ах</w:t>
      </w:r>
      <w:r>
        <w:rPr>
          <w:color w:val="000000"/>
          <w:spacing w:val="0"/>
          <w:w w:val="100"/>
          <w:position w:val="0"/>
          <w:shd w:val="clear" w:color="auto" w:fill="auto"/>
          <w:lang w:val="ru-RU" w:eastAsia="ru-RU" w:bidi="ru-RU"/>
        </w:rPr>
        <w:t xml:space="preserve"> = 5.</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Если в предложении участника закупки содержится значение характеристики объекта закупки, которое выше такого предельного значения, баллы по детализирующему показателю присваиваются в размере, предусмотренном для соответствующего предельного значения характеристики объекта закупки».</w:t>
      </w:r>
    </w:p>
    <w:p>
      <w:pPr>
        <w:pStyle w:val="Style14"/>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доводам жалобы, заявителем (идентификационный номер заявки 118041628) во второй части заявки для оценки по детализирующему показателю 1 «общее количество исполненных участником закупки контрактов/договоров» предоставлено 15 исполненных участником закупки контрактов/договоров по проведению аудита бухгалтерской (финансовой) отчетности унитарных предприятий за 2023-2024 гг., что выше предельного максимального значения, установленного заказчиком, и соответствует максимальной оценке по показателю.</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детализирующему показателю 2 «количество у участника закупки трудоустроенных на основании трудовых договоров аттестованных аудиторов» заявителем представлены документы, подтверждающие наличие в штате 7 аудиторов, состоящих в штате участника закупки и имеющие действующий квалификационный аттестат аудитора, что выше предельного максимального значения, установленного заказчиком, и соответствует максимальной оценке по показателю.</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протоколом рассмотрения и оценки вторых частей заявок на участие в открытом конкурсе в электронной форме от 15.01.2025 № ПРОП2 ООО Аудиторская компания «Бизнес-Актив» (идентификационный номер заявки 118041628) по критерию «квалификация участника закупки» присвоено 24,34 балла.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Тогда как, с учетом предоставленных ООО Аудиторская компания «Бизнес-Актив» в составе заявке на участие в закупке документов, оценка по критерию «квалификация участников закупки» должна быть максимальной.</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Указанное может свидетельствовать, что заказчиком нарушен установленный порядок оценки заявок по показателю «наличие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указывает, что соответствующими действиями заказчика нарушены права и законные интересы заявителя как участника закупки ООО АК «Бизнес-Актив», т.к. при надлежащей оценке заявки, с учетом минимального предложения по критерию «цена контракта», заявитель мог претендовать на победу в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16.01.2025 №ИЭОК1, заявке заявителя присвоен третий порядковый номер после победителя закупки, тогда как его ценовое предложение является наименьшим.</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Комиссия Коми УФАС России считает необходимым отметить, что 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w:t>
      </w:r>
      <w:r>
        <w:rPr>
          <w:color w:val="000000"/>
          <w:spacing w:val="0"/>
          <w:w w:val="100"/>
          <w:position w:val="0"/>
          <w:shd w:val="clear" w:color="auto" w:fill="auto"/>
          <w:lang w:val="ru-RU" w:eastAsia="ru-RU" w:bidi="ru-RU"/>
        </w:rPr>
        <w:t>заявок, окончательных предложений.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силу части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Закона о контрактной системе. Такие результаты могут быть обжалованы участниками закупок в судебном порядке.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заказчик в отзыве на жалобу от 22.01.2025 № 42 (вх. от 23.01.2025 № 604-ЭП/25), представитель заказчика в ходе заседания по рассмотрению жалобы, указали об обоснованности доводов жалобы, признали нарушения установленного порядка оценки заявок на участие в закупке и наличие оснований для отмены протокола рассмотрения и оценки вторых частей заявок на участие в открытом конкурсе в электронной форме от 15.01.2025 №ПРОП2, протокола подведения итогов определения поставщика (подрядчика, исполнителя) от 16.01.2025 №ИЭОК1.</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 пояснениям заказчика, устным пояснениям представителя заказчика, в результате недопонимания при определении в заявках участников закупки значений по критерию, предусмотренному пунктом 4 части 1 статьи 32 Закона о контрактной системе, баллы по детализирующим показателям присвоены без учета установленных предельных максимальных значений (учитывалось представленное участниками закупки в заявках фактическое количество исполненных договоров, количество трудоустроенных аттестованных аудиторов).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Действие комиссии по осуществлению закупки заказчика - МУП «Сыктывкарский банно-прачечный трест» в части нарушения при рассмотрении вторых частей заявок на участие в закупке установленного порядка оценки заявок на участие в закупке не соответствует подпункту б) пункта 1 части 11 статьи 48, части 8 статьи 32 Закона о контрактной системе, пунктам 26, 21 Положения об оценке заявок на участие в закупке, утвержденного Постановлением Правительства РФ от 31.12.2021 № 2604, могло иметь своим последствием определение победителя закупки с нарушением требований Закона о контрактной системе.</w:t>
      </w:r>
    </w:p>
    <w:p>
      <w:pPr>
        <w:pStyle w:val="Style14"/>
        <w:keepNext w:val="0"/>
        <w:keepLines w:val="0"/>
        <w:widowControl w:val="0"/>
        <w:numPr>
          <w:ilvl w:val="0"/>
          <w:numId w:val="5"/>
        </w:numPr>
        <w:shd w:val="clear" w:color="auto" w:fill="auto"/>
        <w:tabs>
          <w:tab w:pos="102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 результатам внеплановой проверки закупки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подпунктом е) пункта 5 Положения об оценке заявок на участие в закупке документ, предусмотренный приложением № 1 к настоящему Положению (Порядок рассмотрения и оценки заявок на участие в конкурсе) формируется в соответствии с требованиями, в том числе: в графе 3 указываются отдельные положения о применении соответствующих критерия оценки, показателя оценки, а также детализирующего показателя, в том числе положения, предусмотренные пунктами 27 - 35 настоящего Положения.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абзацем 3 подпункта «в», подпунктом г) пункта 28 Положения об оценке заявок на участие в закупке документом, предусмотренным приложением №1 к настоящему Положению,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w:t>
      </w:r>
      <w:r>
        <w:rPr>
          <w:i/>
          <w:iCs/>
          <w:color w:val="000000"/>
          <w:spacing w:val="0"/>
          <w:w w:val="100"/>
          <w:position w:val="0"/>
          <w:shd w:val="clear" w:color="auto" w:fill="auto"/>
          <w:lang w:val="ru-RU" w:eastAsia="ru-RU" w:bidi="ru-RU"/>
        </w:rPr>
        <w:t>не ранее чем за 5 лет до даты окончания срока подачи заявок.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по общему правилу последний акт, составленный при исполнении договора и подписанный не ранее чем за 5 лет до даты окончания срока подачи заявок, позволяет учитывать опыт исполнения участником закупки договора, исполненного в любой срок за указанный период.</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Указанные выводы согласуются с позицией Министерства финансов Российской Федерации, обозначенной в письме от 24.11.2023 № 24-06-09/113123 «Об оценке контрактов (договоров) в целях оценки заявок по показателю оценки «наличие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графе 2.1 раздела 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 Порядка рассмотрения и оценки заявок на участие в конкурсе указано, наряду с прочим: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-«Оценивается количество аудиторских проверок, проведенных у особо значимых организаций, представленные участником закупки, документально подтвержденные сведения о контрактах/договорах (далее по тексту - договоры) сопоставимого настоящей закупке характера и объема, успешно исполненных в полном объеме, и при исполнении которых поставщиком (подрядчиком, исполнителем) были исполнены требования об уплате неустоек (штрафов, пеней) (в случае начисления неустоек). Последний акт, составленный при исполнении таких контрактов/договоров, должен быть подписан </w:t>
      </w:r>
      <w:r>
        <w:rPr>
          <w:i/>
          <w:iCs/>
          <w:color w:val="000000"/>
          <w:spacing w:val="0"/>
          <w:w w:val="100"/>
          <w:position w:val="0"/>
          <w:shd w:val="clear" w:color="auto" w:fill="auto"/>
          <w:lang w:val="ru-RU" w:eastAsia="ru-RU" w:bidi="ru-RU"/>
        </w:rPr>
        <w:t>не ранее чем за 2 года</w:t>
      </w:r>
      <w:r>
        <w:rPr>
          <w:color w:val="000000"/>
          <w:spacing w:val="0"/>
          <w:w w:val="100"/>
          <w:position w:val="0"/>
          <w:shd w:val="clear" w:color="auto" w:fill="auto"/>
          <w:lang w:val="ru-RU" w:eastAsia="ru-RU" w:bidi="ru-RU"/>
        </w:rPr>
        <w:t xml:space="preserve"> до даты окончания срока подачи заявок на участие в настоящей закупке»,</w:t>
      </w:r>
    </w:p>
    <w:p>
      <w:pPr>
        <w:pStyle w:val="Style14"/>
        <w:keepNext w:val="0"/>
        <w:keepLines w:val="0"/>
        <w:widowControl w:val="0"/>
        <w:numPr>
          <w:ilvl w:val="0"/>
          <w:numId w:val="7"/>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 оценке заявок по настоящему показателю не учитываются представленные участником в предложении сведения (по каждому контракту/договору), в случае если: участником включены сведения о контрактах/договорах на оказание услуг сопоставимого настоящей закупке характера и объема, но последний акт, составленный при исполнении таких контрактов/договоров, подписан ранее, чем за 2 года до даты окончания срока подачи заявок на участие в настоящей закупке, или на дату окончания срока подачи заявок на участие в настоящей закупке такие контракты/договоры не являются исполненными в полном объеме».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Также в пункте 2 табличной формы Порядка по детализирующему показателю оценки показателя оценки «наличие у участников закупки опыта работы, связанного с предметом контракта/ договора» установлено: «общее количество исполненных участником закупки контрактов/договоров по проведению аудита бухгалтерской (финансовой) отчетности унитарных предприятий </w:t>
      </w:r>
      <w:r>
        <w:rPr>
          <w:i/>
          <w:iCs/>
          <w:color w:val="000000"/>
          <w:spacing w:val="0"/>
          <w:w w:val="100"/>
          <w:position w:val="0"/>
          <w:shd w:val="clear" w:color="auto" w:fill="auto"/>
          <w:lang w:val="ru-RU" w:eastAsia="ru-RU" w:bidi="ru-RU"/>
        </w:rPr>
        <w:t>за 2023-2024 гг.</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Действие заказчика - МУП «Сыктывкарский банно-прачечный трест» в части:</w:t>
      </w:r>
    </w:p>
    <w:p>
      <w:pPr>
        <w:pStyle w:val="Style14"/>
        <w:keepNext w:val="0"/>
        <w:keepLines w:val="0"/>
        <w:widowControl w:val="0"/>
        <w:numPr>
          <w:ilvl w:val="0"/>
          <w:numId w:val="7"/>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включения в графу 2.1 Отдельных положений требований к документу по показателю оценки «наличие у участников закупки опыта работы, связанного с предметом контракта»: «Последний акт, составленный при исполнении таких контрактов/договоров, должен быть подписан не ранее чем за 2 года до даты окончания срока подачи заявок на участие в настоящей закупке»,</w:t>
      </w:r>
    </w:p>
    <w:p>
      <w:pPr>
        <w:pStyle w:val="Style14"/>
        <w:keepNext w:val="0"/>
        <w:keepLines w:val="0"/>
        <w:widowControl w:val="0"/>
        <w:numPr>
          <w:ilvl w:val="0"/>
          <w:numId w:val="7"/>
        </w:numPr>
        <w:shd w:val="clear" w:color="auto" w:fill="auto"/>
        <w:tabs>
          <w:tab w:pos="9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включения в пункт 2 табличной формы Порядка по детализирующему показателю оценки показателя оценки «наличие у участников закупки опыта работы, связанного с предметом контракта/договора» требования к исполненным участником закупки контрактам/договорам по проведению аудита бухгалтерской (финансовой) отчетности унитарных предприятий - </w:t>
      </w:r>
      <w:r>
        <w:rPr>
          <w:i/>
          <w:iCs/>
          <w:color w:val="000000"/>
          <w:spacing w:val="0"/>
          <w:w w:val="100"/>
          <w:position w:val="0"/>
          <w:shd w:val="clear" w:color="auto" w:fill="auto"/>
          <w:lang w:val="ru-RU" w:eastAsia="ru-RU" w:bidi="ru-RU"/>
        </w:rPr>
        <w:t>за 2023-2024 гг.</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соответствует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pPr>
        <w:pStyle w:val="Style14"/>
        <w:keepNext w:val="0"/>
        <w:keepLines w:val="0"/>
        <w:widowControl w:val="0"/>
        <w:numPr>
          <w:ilvl w:val="0"/>
          <w:numId w:val="5"/>
        </w:numPr>
        <w:shd w:val="clear" w:color="auto" w:fill="auto"/>
        <w:tabs>
          <w:tab w:pos="105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 силу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подпунктом 2 пункта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необходимости выдачи предписания об устранении допущенного заказчиком - МУП «Сыктывкарский банно-прачечный трест» нарушения частей 8, 9 статьи 32 Закона о контрактной системе, подпункта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учитывая стадию закупки, отсутствие доказательств того, что установленное нарушение ограничило количество участников закупки (по протоколу рассмотрения и оценки вторых частей заявок на участие в открытом конкурсе в электронной форме от 15.01.2025 №ПРОП2 на участие в закупке подано 7 заявок), считает возможным предписание об устранении указанного нарушения не выдавать.</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Коми УФАС России при рассмотрении вопроса относительно необходимости выдачи предписания об устранении допущенного комиссией по осуществлению закупки заказчика - МУП «Сыктывкарский банно-прачечный трест» нарушений подпункта б) пункта 1 части 11 статьи 48, части 8 статьи 32 Закона о контрактной системе, пунктов 26, 21 Положения об оценке заявок на участие в закупке, утвержденного Постановлением Правительства РФ от 31.12.2021 № 2604, учитывая характер установленных нарушений, стадию закупки, то, что установленное нарушение могло повлиять на результат закупки, считает необходимым выдать предписание об устранении указанных нарушений.</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статьей 99, частью 8 статьи 106 Закона о контрактной системе, Комиссия Коми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4"/>
        <w:keepNext w:val="0"/>
        <w:keepLines w:val="0"/>
        <w:widowControl w:val="0"/>
        <w:numPr>
          <w:ilvl w:val="0"/>
          <w:numId w:val="9"/>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обоснованной.</w:t>
      </w:r>
    </w:p>
    <w:p>
      <w:pPr>
        <w:pStyle w:val="Style14"/>
        <w:keepNext w:val="0"/>
        <w:keepLines w:val="0"/>
        <w:widowControl w:val="0"/>
        <w:numPr>
          <w:ilvl w:val="0"/>
          <w:numId w:val="9"/>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действие комиссии по осуществлению закупки заказчика - МУП «Сыктывкарский банно-прачечный трест» в части нарушения при рассмотрении вторых частей заявок на участие в закупке установленного порядка оценки заявок на участие в закупке не соответствующим подпункту б) пункта 1 части 11 статьи 48, части 8 статьи 32 Закона о контрактной системе, пунктам 26, 21 Положения об оценке заявок на участие в закупке, утвержденного Постановлением Правительства РФ от 31.12.2021 № 2604.</w:t>
      </w:r>
    </w:p>
    <w:p>
      <w:pPr>
        <w:pStyle w:val="Style14"/>
        <w:keepNext w:val="0"/>
        <w:keepLines w:val="0"/>
        <w:widowControl w:val="0"/>
        <w:numPr>
          <w:ilvl w:val="0"/>
          <w:numId w:val="9"/>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 результатам внеплановой проверки закупки признать действие заказчика - МУП «Сыктывкарский банно-прачечный трест» в части включения:</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графу 2.1 Отдельных положений требований к документу по показателю оценки «наличие у участников закупки опыта работы, связанного с предметом контракта»: «Последний акт, составленный при исполнении таких контрактов/договоров, должен быть подписан не ранее чем за 2 года до даты окончания срока подачи заявок на участие в настоящей закупке»,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пункт 2 табличной формы Порядка по детализирующему показателю оценки показателя оценки «наличие у участников закупки опыта работы, связанного с предметом контракта/договора» требования к исполненным участником закупки контрактам/договорам по проведению аудита бухгалтерской (финансовой) отчетности унитарных предприятий - </w:t>
      </w:r>
      <w:r>
        <w:rPr>
          <w:i/>
          <w:iCs/>
          <w:color w:val="000000"/>
          <w:spacing w:val="0"/>
          <w:w w:val="100"/>
          <w:position w:val="0"/>
          <w:shd w:val="clear" w:color="auto" w:fill="auto"/>
          <w:lang w:val="ru-RU" w:eastAsia="ru-RU" w:bidi="ru-RU"/>
        </w:rPr>
        <w:t>за 2023-2024 гг.</w:t>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соответствующим требованиям частей 8, 9 статьи 32 Закона о контрактной системе, подпункту е) пункта 5, подпункту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w:t>
      </w:r>
    </w:p>
    <w:p>
      <w:pPr>
        <w:pStyle w:val="Style14"/>
        <w:keepNext w:val="0"/>
        <w:keepLines w:val="0"/>
        <w:widowControl w:val="0"/>
        <w:numPr>
          <w:ilvl w:val="0"/>
          <w:numId w:val="9"/>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стадии закупки, отсутствие доказательств того, что установленное нарушение заказчиком - МУП «Сыктывкарский банно-прачечный трест» частей 8, 9 статьи 32 Закона о контрактной системе, подпункта е) пункта 5, подпункта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 2604, ограничило количество участников закупки (по протоколу рассмотрения и оценки вторых частей заявок на участие в открытом конкурсе в электронной форме от 15.01.2025 №ПРОП2 на участие в закупке подано 7 заявок), предписание об устранении указанного нарушения не выдавать.</w:t>
      </w:r>
    </w:p>
    <w:p>
      <w:pPr>
        <w:pStyle w:val="Style14"/>
        <w:keepNext w:val="0"/>
        <w:keepLines w:val="0"/>
        <w:widowControl w:val="0"/>
        <w:numPr>
          <w:ilvl w:val="0"/>
          <w:numId w:val="9"/>
        </w:numPr>
        <w:shd w:val="clear" w:color="auto" w:fill="auto"/>
        <w:tabs>
          <w:tab w:pos="103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стадии закупки, характера установленного нарушения комиссией по осуществлению закупки заказчика - МУП «Сыктывкарский банно-прачечный трест» подпункта б) пункта 1 части 11 статьи 48, части 8 статьи 32 Закона о контрактной системе, пунктов 26, 21 Положения об оценке заявок на участие в закупке, утвержденного Постановлением Правительства РФ от 31.12.2021 № 2604, в части нарушения при рассмотрении вторых частей заявок на участие в закупке установленного порядка оценки заявок на участие в закупке, с учетом того, что установленное нарушение могло повлиять на результат закупки, выдать комиссии по осуществлению закупки заказчика, заказчику предписание об устранении указанных нарушений посредством отмены всех протоколов, составленных при осуществлении закупки, осуществлению дальнейших действий по закупке в соответствии с законодательством Российской Федерации о контрактной системе</w:t>
        <w:br w:type="page"/>
      </w:r>
      <w:r>
        <w:rPr>
          <w:color w:val="000000"/>
          <w:spacing w:val="0"/>
          <w:w w:val="100"/>
          <w:position w:val="0"/>
          <w:shd w:val="clear" w:color="auto" w:fill="auto"/>
          <w:lang w:val="ru-RU" w:eastAsia="ru-RU" w:bidi="ru-RU"/>
        </w:rPr>
        <w:t>в сфере закупок.</w:t>
      </w:r>
    </w:p>
    <w:p>
      <w:pPr>
        <w:pStyle w:val="Style14"/>
        <w:keepNext w:val="0"/>
        <w:keepLines w:val="0"/>
        <w:widowControl w:val="0"/>
        <w:numPr>
          <w:ilvl w:val="0"/>
          <w:numId w:val="9"/>
        </w:numPr>
        <w:shd w:val="clear" w:color="auto" w:fill="auto"/>
        <w:tabs>
          <w:tab w:pos="1066"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Передать материалы жалобы должностному лицу Коми УФАС России для рассмотрения вопроса о возбуждении административных дел в отношении должностных лиц заказчика, допустивших установленные нарушения законодательства о контрактной системе.</w:t>
      </w:r>
    </w:p>
    <w:p>
      <w:pPr>
        <w:pStyle w:val="Style14"/>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116" w:right="526" w:bottom="892" w:left="1088" w:header="0" w:footer="3" w:gutter="0"/>
          <w:cols w:space="720"/>
          <w:noEndnote/>
          <w:rtlGutter w:val="0"/>
          <w:docGrid w:linePitch="360"/>
        </w:sectPr>
      </w:pPr>
      <w:r>
        <mc:AlternateContent>
          <mc:Choice Requires="wps">
            <w:drawing>
              <wp:anchor distT="292100" distB="238125" distL="0" distR="0" simplePos="0" relativeHeight="125829389" behindDoc="0" locked="0" layoutInCell="1" allowOverlap="1">
                <wp:simplePos x="0" y="0"/>
                <wp:positionH relativeFrom="page">
                  <wp:posOffset>737870</wp:posOffset>
                </wp:positionH>
                <wp:positionV relativeFrom="paragraph">
                  <wp:posOffset>292100</wp:posOffset>
                </wp:positionV>
                <wp:extent cx="1700530" cy="225425"/>
                <wp:wrapTopAndBottom/>
                <wp:docPr id="23" name="Shape 23"/>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8.100000000000001pt;margin-top:23.pt;width:133.90000000000001pt;height:17.75pt;z-index:-125829364;mso-wrap-distance-left:0;mso-wrap-distance-top:23.pt;mso-wrap-distance-right:0;mso-wrap-distance-bottom:18.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89890" distB="21590" distL="0" distR="1816735" simplePos="0" relativeHeight="125829391" behindDoc="0" locked="0" layoutInCell="1" allowOverlap="1">
            <wp:simplePos x="0" y="0"/>
            <wp:positionH relativeFrom="page">
              <wp:posOffset>2688590</wp:posOffset>
            </wp:positionH>
            <wp:positionV relativeFrom="paragraph">
              <wp:posOffset>389890</wp:posOffset>
            </wp:positionV>
            <wp:extent cx="292735" cy="34734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292735"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454025</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1.95000000000002pt;margin-top:35.75pt;width:135.84999999999999pt;height:20.150000000000002pt;z-index:251657729;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20700" distB="0" distL="0" distR="0" simplePos="0" relativeHeight="125829392" behindDoc="0" locked="0" layoutInCell="1" allowOverlap="1">
                <wp:simplePos x="0" y="0"/>
                <wp:positionH relativeFrom="page">
                  <wp:posOffset>6215380</wp:posOffset>
                </wp:positionH>
                <wp:positionV relativeFrom="paragraph">
                  <wp:posOffset>520700</wp:posOffset>
                </wp:positionV>
                <wp:extent cx="975360" cy="234950"/>
                <wp:wrapTopAndBottom/>
                <wp:docPr id="29" name="Shape 29"/>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55" type="#_x0000_t202" style="position:absolute;margin-left:489.40000000000003pt;margin-top:41.pt;width:76.799999999999997pt;height:18.5pt;z-index:-125829361;mso-wrap-distance-left:0;mso-wrap-distance-top:41.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4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1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Дейберт Ольга Ивановна</w:t>
      </w:r>
    </w:p>
    <w:p>
      <w:pPr>
        <w:pStyle w:val="Style16"/>
        <w:keepNext w:val="0"/>
        <w:keepLines w:val="0"/>
        <w:widowControl w:val="0"/>
        <w:shd w:val="clear" w:color="auto" w:fill="auto"/>
        <w:bidi w:val="0"/>
        <w:spacing w:before="0" w:after="0" w:line="240" w:lineRule="auto"/>
        <w:ind w:right="0" w:firstLine="0"/>
        <w:jc w:val="left"/>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47ВЕ956094А2653С447Е267327825004</w:t>
      </w:r>
    </w:p>
    <w:p>
      <w:pPr>
        <w:pStyle w:val="Style16"/>
        <w:keepNext w:val="0"/>
        <w:keepLines w:val="0"/>
        <w:widowControl w:val="0"/>
        <w:shd w:val="clear" w:color="auto" w:fill="auto"/>
        <w:bidi w:val="0"/>
        <w:spacing w:before="0" w:after="4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10.06.2024 по </w:t>
      </w:r>
      <w:r>
        <w:rPr>
          <w:spacing w:val="0"/>
          <w:w w:val="100"/>
          <w:position w:val="0"/>
          <w:shd w:val="clear" w:color="auto" w:fill="auto"/>
          <w:lang w:val="ru-RU" w:eastAsia="ru-RU" w:bidi="ru-RU"/>
        </w:rPr>
        <w:t>03.09.2025</w:t>
      </w:r>
    </w:p>
    <w:p>
      <w:pPr>
        <w:pStyle w:val="Style14"/>
        <w:keepNext w:val="0"/>
        <w:keepLines w:val="0"/>
        <w:widowControl w:val="0"/>
        <w:shd w:val="clear" w:color="auto" w:fill="auto"/>
        <w:bidi w:val="0"/>
        <w:spacing w:before="0" w:after="660" w:line="240" w:lineRule="auto"/>
        <w:ind w:left="0" w:right="0" w:firstLine="0"/>
        <w:jc w:val="left"/>
      </w:pPr>
      <w:r>
        <w:drawing>
          <wp:anchor distT="0" distB="0" distL="114300" distR="1931035" simplePos="0" relativeHeight="125829394" behindDoc="0" locked="0" layoutInCell="1" allowOverlap="1">
            <wp:simplePos x="0" y="0"/>
            <wp:positionH relativeFrom="page">
              <wp:posOffset>2688590</wp:posOffset>
            </wp:positionH>
            <wp:positionV relativeFrom="paragraph">
              <wp:posOffset>533400</wp:posOffset>
            </wp:positionV>
            <wp:extent cx="292735" cy="34734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ext cx="292735"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3072765</wp:posOffset>
                </wp:positionH>
                <wp:positionV relativeFrom="paragraph">
                  <wp:posOffset>597535</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1.95000000000002pt;margin-top:47.050000000000004pt;width:135.84999999999999pt;height:20.150000000000002pt;z-index:251657731;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Члены комиссии:</w:t>
      </w:r>
    </w:p>
    <w:p>
      <w:pPr>
        <w:pStyle w:val="Style14"/>
        <w:keepNext w:val="0"/>
        <w:keepLines w:val="0"/>
        <w:widowControl w:val="0"/>
        <w:shd w:val="clear" w:color="auto" w:fill="auto"/>
        <w:bidi w:val="0"/>
        <w:spacing w:before="0" w:after="95" w:line="240" w:lineRule="auto"/>
        <w:ind w:left="2040" w:right="0" w:firstLine="0"/>
        <w:jc w:val="left"/>
      </w:pPr>
      <w:r>
        <w:rPr>
          <w:color w:val="000000"/>
          <w:spacing w:val="0"/>
          <w:w w:val="100"/>
          <w:position w:val="0"/>
          <w:shd w:val="clear" w:color="auto" w:fill="auto"/>
          <w:lang w:val="ru-RU" w:eastAsia="ru-RU" w:bidi="ru-RU"/>
        </w:rPr>
        <w:t>А.В. Оверина</w:t>
      </w:r>
    </w:p>
    <w:p>
      <w:pPr>
        <w:pStyle w:val="Style4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1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Оверина Анна Владимировна</w:t>
      </w:r>
    </w:p>
    <w:p>
      <w:pPr>
        <w:pStyle w:val="Style16"/>
        <w:keepNext w:val="0"/>
        <w:keepLines w:val="0"/>
        <w:widowControl w:val="0"/>
        <w:shd w:val="clear" w:color="auto" w:fill="auto"/>
        <w:bidi w:val="0"/>
        <w:spacing w:before="0" w:after="0" w:line="240" w:lineRule="auto"/>
        <w:ind w:right="0" w:firstLine="0"/>
        <w:jc w:val="left"/>
      </w:pPr>
      <w:r>
        <w:rPr>
          <w:color w:val="28282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82828"/>
          <w:spacing w:val="0"/>
          <w:w w:val="100"/>
          <w:position w:val="0"/>
          <w:shd w:val="clear" w:color="auto" w:fill="auto"/>
          <w:lang w:val="ru-RU" w:eastAsia="ru-RU" w:bidi="ru-RU"/>
        </w:rPr>
        <w:t>008А5031677Е920А65Е043ЕАЕ5Э626607А</w:t>
      </w:r>
    </w:p>
    <w:p>
      <w:pPr>
        <w:pStyle w:val="Style1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282828"/>
          <w:spacing w:val="0"/>
          <w:w w:val="100"/>
          <w:position w:val="0"/>
          <w:shd w:val="clear" w:color="auto" w:fill="auto"/>
          <w:lang w:val="ru-RU" w:eastAsia="ru-RU" w:bidi="ru-RU"/>
        </w:rPr>
        <w:t xml:space="preserve">с 16.07.2024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09.10.2025</w:t>
      </w:r>
    </w:p>
    <w:p>
      <w:pPr>
        <w:widowControl w:val="0"/>
        <w:spacing w:line="1" w:lineRule="exact"/>
        <w:sectPr>
          <w:footnotePr>
            <w:pos w:val="pageBottom"/>
            <w:numFmt w:val="decimal"/>
            <w:numRestart w:val="continuous"/>
          </w:footnotePr>
          <w:type w:val="continuous"/>
          <w:pgSz w:w="11900" w:h="16840"/>
          <w:pgMar w:top="1666" w:right="541" w:bottom="5578" w:left="1106" w:header="0" w:footer="3" w:gutter="0"/>
          <w:cols w:space="720"/>
          <w:noEndnote/>
          <w:rtlGutter w:val="0"/>
          <w:docGrid w:linePitch="360"/>
        </w:sectPr>
      </w:pPr>
      <w:r>
        <w:drawing>
          <wp:anchor distT="495300" distB="182880" distL="0" distR="1816735" simplePos="0" relativeHeight="125829395" behindDoc="0" locked="0" layoutInCell="1" allowOverlap="1">
            <wp:simplePos x="0" y="0"/>
            <wp:positionH relativeFrom="page">
              <wp:posOffset>2688590</wp:posOffset>
            </wp:positionH>
            <wp:positionV relativeFrom="paragraph">
              <wp:posOffset>495300</wp:posOffset>
            </wp:positionV>
            <wp:extent cx="292735" cy="34734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9"/>
                    <a:stretch/>
                  </pic:blipFill>
                  <pic:spPr>
                    <a:xfrm>
                      <a:ext cx="292735"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3072765</wp:posOffset>
                </wp:positionH>
                <wp:positionV relativeFrom="paragraph">
                  <wp:posOffset>559435</wp:posOffset>
                </wp:positionV>
                <wp:extent cx="1725295" cy="255905"/>
                <wp:wrapNone/>
                <wp:docPr id="37" name="Shape 3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1.95000000000002pt;margin-top:44.050000000000004pt;width:135.84999999999999pt;height:20.150000000000002pt;z-index:251657733;mso-wrap-distance-left:0;mso-wrap-distance-right:0;mso-position-horizontal-relative:page" filled="f" stroked="f">
                <v:textbox inset="0,0,0,0">
                  <w:txbxContent>
                    <w:p>
                      <w:pPr>
                        <w:pStyle w:val="Style24"/>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73125" distB="54610" distL="0" distR="0" simplePos="0" relativeHeight="125829396" behindDoc="0" locked="0" layoutInCell="1" allowOverlap="1">
                <wp:simplePos x="0" y="0"/>
                <wp:positionH relativeFrom="page">
                  <wp:posOffset>3118485</wp:posOffset>
                </wp:positionH>
                <wp:positionV relativeFrom="paragraph">
                  <wp:posOffset>873125</wp:posOffset>
                </wp:positionV>
                <wp:extent cx="1283335" cy="97790"/>
                <wp:wrapTopAndBottom/>
                <wp:docPr id="39" name="Shape 39"/>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4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wps:txbx>
                      <wps:bodyPr wrap="none" lIns="0" tIns="0" rIns="0" bIns="0">
                        <a:noAutoFit/>
                      </wps:bodyPr>
                    </wps:wsp>
                  </a:graphicData>
                </a:graphic>
              </wp:anchor>
            </w:drawing>
          </mc:Choice>
          <mc:Fallback>
            <w:pict>
              <v:shape id="_x0000_s1065" type="#_x0000_t202" style="position:absolute;margin-left:245.55000000000001pt;margin-top:68.75pt;width:101.05pt;height:7.7000000000000002pt;z-index:-125829357;mso-wrap-distance-left:0;mso-wrap-distance-top:68.75pt;mso-wrap-distance-right:0;mso-wrap-distance-bottom:4.2999999999999998pt;mso-position-horizontal-relative:page" filled="f" stroked="f">
                <v:textbox inset="0,0,0,0">
                  <w:txbxContent>
                    <w:p>
                      <w:pPr>
                        <w:pStyle w:val="Style4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txbxContent>
                </v:textbox>
                <w10:wrap type="topAndBottom" anchorx="page"/>
              </v:shape>
            </w:pict>
          </mc:Fallback>
        </mc:AlternateContent>
      </w:r>
      <w:r>
        <mc:AlternateContent>
          <mc:Choice Requires="wps">
            <w:drawing>
              <wp:anchor distT="818515" distB="0" distL="0" distR="0" simplePos="0" relativeHeight="125829398" behindDoc="0" locked="0" layoutInCell="1" allowOverlap="1">
                <wp:simplePos x="0" y="0"/>
                <wp:positionH relativeFrom="page">
                  <wp:posOffset>6050280</wp:posOffset>
                </wp:positionH>
                <wp:positionV relativeFrom="paragraph">
                  <wp:posOffset>818515</wp:posOffset>
                </wp:positionV>
                <wp:extent cx="1139825" cy="207010"/>
                <wp:wrapTopAndBottom/>
                <wp:docPr id="41" name="Shape 41"/>
                <a:graphic xmlns:a="http://schemas.openxmlformats.org/drawingml/2006/main">
                  <a:graphicData uri="http://schemas.microsoft.com/office/word/2010/wordprocessingShape">
                    <wps:wsp>
                      <wps:cNvSpPr txBox="1"/>
                      <wps:spPr>
                        <a:xfrm>
                          <a:ext cx="1139825" cy="2070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67" type="#_x0000_t202" style="position:absolute;margin-left:476.40000000000003pt;margin-top:64.450000000000003pt;width:89.75pt;height:16.300000000000001pt;z-index:-125829355;mso-wrap-distance-left:0;mso-wrap-distance-top:64.450000000000003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Растегаева Анна Дмитриевна</w:t>
      </w:r>
    </w:p>
    <w:p>
      <w:pPr>
        <w:pStyle w:val="Style16"/>
        <w:keepNext w:val="0"/>
        <w:keepLines w:val="0"/>
        <w:widowControl w:val="0"/>
        <w:shd w:val="clear" w:color="auto" w:fill="auto"/>
        <w:bidi w:val="0"/>
        <w:spacing w:before="0" w:after="0" w:line="240" w:lineRule="auto"/>
        <w:ind w:right="0" w:firstLine="0"/>
        <w:jc w:val="left"/>
      </w:pPr>
      <w:r>
        <w:rPr>
          <w:color w:val="3F3F3F"/>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F3F3F"/>
          <w:spacing w:val="0"/>
          <w:w w:val="100"/>
          <w:position w:val="0"/>
          <w:shd w:val="clear" w:color="auto" w:fill="auto"/>
          <w:lang w:val="ru-RU" w:eastAsia="ru-RU" w:bidi="ru-RU"/>
        </w:rPr>
        <w:t>00АЕ786ЕСЗП4997О7832ЕЗЕ0В44087743В</w:t>
      </w:r>
    </w:p>
    <w:p>
      <w:pPr>
        <w:pStyle w:val="Style1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3F3F3F"/>
          <w:spacing w:val="0"/>
          <w:w w:val="100"/>
          <w:position w:val="0"/>
          <w:shd w:val="clear" w:color="auto" w:fill="auto"/>
          <w:lang w:val="ru-RU" w:eastAsia="ru-RU" w:bidi="ru-RU"/>
        </w:rPr>
        <w:t xml:space="preserve">с 16.02.2024 по </w:t>
      </w:r>
      <w:r>
        <w:rPr>
          <w:spacing w:val="0"/>
          <w:w w:val="100"/>
          <w:position w:val="0"/>
          <w:shd w:val="clear" w:color="auto" w:fill="auto"/>
          <w:lang w:val="ru-RU" w:eastAsia="ru-RU" w:bidi="ru-RU"/>
        </w:rPr>
        <w:t>11.05.2025</w:t>
      </w:r>
    </w:p>
    <w:sectPr>
      <w:footnotePr>
        <w:pos w:val="pageBottom"/>
        <w:numFmt w:val="decimal"/>
        <w:numRestart w:val="continuous"/>
      </w:footnotePr>
      <w:type w:val="continuous"/>
      <w:pgSz w:w="11900" w:h="16840"/>
      <w:pgMar w:top="1666" w:right="541"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9994265</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wps:txbx>
                    <wps:bodyPr wrap="none" lIns="0" tIns="0" rIns="0" bIns="0">
                      <a:spAutoFit/>
                    </wps:bodyPr>
                  </wps:wsp>
                </a:graphicData>
              </a:graphic>
            </wp:anchor>
          </w:drawing>
        </mc:Choice>
        <mc:Fallback>
          <w:pict>
            <v:shape id="_x0000_s1033" type="#_x0000_t202" style="position:absolute;margin-left:56.899999999999999pt;margin-top:786.95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wps:txbx>
                    <wps:bodyPr wrap="none" lIns="0" tIns="0" rIns="0" bIns="0">
                      <a:spAutoFit/>
                    </wps:bodyPr>
                  </wps:wsp>
                </a:graphicData>
              </a:graphic>
            </wp:anchor>
          </w:drawing>
        </mc:Choice>
        <mc:Fallback>
          <w:pict>
            <v:shape id="_x0000_s1035" type="#_x0000_t202" style="position:absolute;margin-left:57.pt;margin-top:776.2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3900170</wp:posOffset>
              </wp:positionH>
              <wp:positionV relativeFrom="page">
                <wp:posOffset>735965</wp:posOffset>
              </wp:positionV>
              <wp:extent cx="128270" cy="106680"/>
              <wp:wrapNone/>
              <wp:docPr id="5" name="Shape 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7.10000000000002pt;margin-top:57.950000000000003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A"/>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A"/>
      <w:sz w:val="19"/>
      <w:szCs w:val="19"/>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 (7)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Основной текст (2)_"/>
    <w:basedOn w:val="DefaultParagraphFont"/>
    <w:link w:val="Style16"/>
    <w:rPr>
      <w:rFonts w:ascii="Arial" w:eastAsia="Arial" w:hAnsi="Arial" w:cs="Arial"/>
      <w:b w:val="0"/>
      <w:bCs w:val="0"/>
      <w:i w:val="0"/>
      <w:iCs w:val="0"/>
      <w:smallCaps w:val="0"/>
      <w:strike w:val="0"/>
      <w:color w:val="6E6E6E"/>
      <w:sz w:val="12"/>
      <w:szCs w:val="12"/>
      <w:u w:val="none"/>
    </w:rPr>
  </w:style>
  <w:style w:type="character" w:customStyle="1" w:styleId="CharStyle25">
    <w:name w:val="Подпись к картинке_"/>
    <w:basedOn w:val="DefaultParagraphFont"/>
    <w:link w:val="Style24"/>
    <w:rPr>
      <w:rFonts w:ascii="Times New Roman" w:eastAsia="Times New Roman" w:hAnsi="Times New Roman" w:cs="Times New Roman"/>
      <w:b w:val="0"/>
      <w:bCs w:val="0"/>
      <w:i w:val="0"/>
      <w:iCs w:val="0"/>
      <w:smallCaps w:val="0"/>
      <w:strike w:val="0"/>
      <w:color w:val="282828"/>
      <w:sz w:val="12"/>
      <w:szCs w:val="12"/>
      <w:u w:val="none"/>
    </w:rPr>
  </w:style>
  <w:style w:type="character" w:customStyle="1" w:styleId="CharStyle28">
    <w:name w:val="Заголовок №1_"/>
    <w:basedOn w:val="DefaultParagraphFont"/>
    <w:link w:val="Style27"/>
    <w:rPr>
      <w:rFonts w:ascii="Arial" w:eastAsia="Arial" w:hAnsi="Arial" w:cs="Arial"/>
      <w:b w:val="0"/>
      <w:bCs w:val="0"/>
      <w:i w:val="0"/>
      <w:iCs w:val="0"/>
      <w:smallCaps w:val="0"/>
      <w:strike w:val="0"/>
      <w:sz w:val="48"/>
      <w:szCs w:val="48"/>
      <w:u w:val="none"/>
    </w:rPr>
  </w:style>
  <w:style w:type="character" w:customStyle="1" w:styleId="CharStyle33">
    <w:name w:val="Заголовок №2_"/>
    <w:basedOn w:val="DefaultParagraphFont"/>
    <w:link w:val="Style32"/>
    <w:rPr>
      <w:rFonts w:ascii="Times New Roman" w:eastAsia="Times New Roman" w:hAnsi="Times New Roman" w:cs="Times New Roman"/>
      <w:b w:val="0"/>
      <w:bCs w:val="0"/>
      <w:i/>
      <w:iCs/>
      <w:smallCaps w:val="0"/>
      <w:strike w:val="0"/>
      <w:sz w:val="14"/>
      <w:szCs w:val="14"/>
      <w:u w:val="none"/>
    </w:rPr>
  </w:style>
  <w:style w:type="character" w:customStyle="1" w:styleId="CharStyle39">
    <w:name w:val="Основной текст (6)_"/>
    <w:basedOn w:val="DefaultParagraphFont"/>
    <w:link w:val="Style38"/>
    <w:rPr>
      <w:rFonts w:ascii="Times New Roman" w:eastAsia="Times New Roman" w:hAnsi="Times New Roman" w:cs="Times New Roman"/>
      <w:b w:val="0"/>
      <w:bCs w:val="0"/>
      <w:i/>
      <w:iCs/>
      <w:smallCaps w:val="0"/>
      <w:strike w:val="0"/>
      <w:sz w:val="14"/>
      <w:szCs w:val="14"/>
      <w:u w:val="none"/>
    </w:rPr>
  </w:style>
  <w:style w:type="character" w:customStyle="1" w:styleId="CharStyle47">
    <w:name w:val="Основной текст (5)_"/>
    <w:basedOn w:val="DefaultParagraphFont"/>
    <w:link w:val="Style46"/>
    <w:rPr>
      <w:rFonts w:ascii="Times New Roman" w:eastAsia="Times New Roman" w:hAnsi="Times New Roman" w:cs="Times New Roman"/>
      <w:b w:val="0"/>
      <w:bCs w:val="0"/>
      <w:i w:val="0"/>
      <w:iCs w:val="0"/>
      <w:smallCaps w:val="0"/>
      <w:strike w:val="0"/>
      <w:color w:val="E3E3E3"/>
      <w:sz w:val="12"/>
      <w:szCs w:val="12"/>
      <w:u w:val="none"/>
    </w:rPr>
  </w:style>
  <w:style w:type="paragraph" w:customStyle="1" w:styleId="Style2">
    <w:name w:val="Основной текст (3)"/>
    <w:basedOn w:val="Normal"/>
    <w:link w:val="CharStyle3"/>
    <w:pPr>
      <w:widowControl w:val="0"/>
      <w:shd w:val="clear" w:color="auto" w:fill="auto"/>
      <w:spacing w:after="120" w:line="276" w:lineRule="auto"/>
      <w:jc w:val="center"/>
    </w:pPr>
    <w:rPr>
      <w:rFonts w:ascii="Times New Roman" w:eastAsia="Times New Roman" w:hAnsi="Times New Roman" w:cs="Times New Roman"/>
      <w:b w:val="0"/>
      <w:bCs w:val="0"/>
      <w:i w:val="0"/>
      <w:iCs w:val="0"/>
      <w:smallCaps w:val="0"/>
      <w:strike w:val="0"/>
      <w:color w:val="47619A"/>
      <w:sz w:val="16"/>
      <w:szCs w:val="16"/>
      <w:u w:val="none"/>
    </w:rPr>
  </w:style>
  <w:style w:type="paragraph" w:customStyle="1" w:styleId="Style5">
    <w:name w:val="Основной текст (4)"/>
    <w:basedOn w:val="Normal"/>
    <w:link w:val="CharStyle6"/>
    <w:pPr>
      <w:widowControl w:val="0"/>
      <w:shd w:val="clear" w:color="auto" w:fill="auto"/>
      <w:spacing w:after="240" w:line="257" w:lineRule="auto"/>
      <w:jc w:val="center"/>
    </w:pPr>
    <w:rPr>
      <w:rFonts w:ascii="Times New Roman" w:eastAsia="Times New Roman" w:hAnsi="Times New Roman" w:cs="Times New Roman"/>
      <w:b/>
      <w:bCs/>
      <w:i w:val="0"/>
      <w:iCs w:val="0"/>
      <w:smallCaps w:val="0"/>
      <w:strike w:val="0"/>
      <w:color w:val="47619A"/>
      <w:sz w:val="19"/>
      <w:szCs w:val="19"/>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7)"/>
    <w:basedOn w:val="Normal"/>
    <w:link w:val="CharStyle11"/>
    <w:pPr>
      <w:widowControl w:val="0"/>
      <w:shd w:val="clear" w:color="auto" w:fill="auto"/>
      <w:spacing w:after="34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Основной текст (2)"/>
    <w:basedOn w:val="Normal"/>
    <w:link w:val="CharStyle17"/>
    <w:pPr>
      <w:widowControl w:val="0"/>
      <w:shd w:val="clear" w:color="auto" w:fill="auto"/>
      <w:ind w:left="3100"/>
    </w:pPr>
    <w:rPr>
      <w:rFonts w:ascii="Arial" w:eastAsia="Arial" w:hAnsi="Arial" w:cs="Arial"/>
      <w:b w:val="0"/>
      <w:bCs w:val="0"/>
      <w:i w:val="0"/>
      <w:iCs w:val="0"/>
      <w:smallCaps w:val="0"/>
      <w:strike w:val="0"/>
      <w:color w:val="6E6E6E"/>
      <w:sz w:val="12"/>
      <w:szCs w:val="12"/>
      <w:u w:val="none"/>
    </w:rPr>
  </w:style>
  <w:style w:type="paragraph" w:customStyle="1" w:styleId="Style24">
    <w:name w:val="Подпись к картинке"/>
    <w:basedOn w:val="Normal"/>
    <w:link w:val="CharStyle25"/>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82828"/>
      <w:sz w:val="12"/>
      <w:szCs w:val="12"/>
      <w:u w:val="none"/>
    </w:rPr>
  </w:style>
  <w:style w:type="paragraph" w:customStyle="1" w:styleId="Style27">
    <w:name w:val="Заголовок №1"/>
    <w:basedOn w:val="Normal"/>
    <w:link w:val="CharStyle28"/>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32">
    <w:name w:val="Заголовок №2"/>
    <w:basedOn w:val="Normal"/>
    <w:link w:val="CharStyle33"/>
    <w:pPr>
      <w:widowControl w:val="0"/>
      <w:shd w:val="clear" w:color="auto" w:fill="auto"/>
      <w:ind w:firstLine="350"/>
      <w:outlineLvl w:val="1"/>
    </w:pPr>
    <w:rPr>
      <w:rFonts w:ascii="Times New Roman" w:eastAsia="Times New Roman" w:hAnsi="Times New Roman" w:cs="Times New Roman"/>
      <w:b w:val="0"/>
      <w:bCs w:val="0"/>
      <w:i/>
      <w:iCs/>
      <w:smallCaps w:val="0"/>
      <w:strike w:val="0"/>
      <w:sz w:val="14"/>
      <w:szCs w:val="14"/>
      <w:u w:val="none"/>
    </w:rPr>
  </w:style>
  <w:style w:type="paragraph" w:customStyle="1" w:styleId="Style38">
    <w:name w:val="Основной текст (6)"/>
    <w:basedOn w:val="Normal"/>
    <w:link w:val="CharStyle39"/>
    <w:pPr>
      <w:widowControl w:val="0"/>
      <w:shd w:val="clear" w:color="auto" w:fill="auto"/>
      <w:ind w:left="1800"/>
    </w:pPr>
    <w:rPr>
      <w:rFonts w:ascii="Times New Roman" w:eastAsia="Times New Roman" w:hAnsi="Times New Roman" w:cs="Times New Roman"/>
      <w:b w:val="0"/>
      <w:bCs w:val="0"/>
      <w:i/>
      <w:iCs/>
      <w:smallCaps w:val="0"/>
      <w:strike w:val="0"/>
      <w:sz w:val="14"/>
      <w:szCs w:val="14"/>
      <w:u w:val="none"/>
    </w:rPr>
  </w:style>
  <w:style w:type="paragraph" w:customStyle="1" w:styleId="Style46">
    <w:name w:val="Основной текст (5)"/>
    <w:basedOn w:val="Normal"/>
    <w:link w:val="CharStyle47"/>
    <w:pPr>
      <w:widowControl w:val="0"/>
      <w:shd w:val="clear" w:color="auto" w:fill="auto"/>
      <w:spacing w:after="100"/>
      <w:ind w:left="3820"/>
    </w:pPr>
    <w:rPr>
      <w:rFonts w:ascii="Times New Roman" w:eastAsia="Times New Roman" w:hAnsi="Times New Roman" w:cs="Times New Roman"/>
      <w:b w:val="0"/>
      <w:bCs w:val="0"/>
      <w:i w:val="0"/>
      <w:iCs w:val="0"/>
      <w:smallCaps w:val="0"/>
      <w:strike w:val="0"/>
      <w:color w:val="E3E3E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s>
</file>

<file path=docProps/core.xml><?xml version="1.0" encoding="utf-8"?>
<cp:coreProperties xmlns:cp="http://schemas.openxmlformats.org/package/2006/metadata/core-properties" xmlns:dc="http://purl.org/dc/elements/1.1/">
  <dc:title>Федеральный закон от 30.12.2008 N 307-ФЗ(ред. от 08.08.2024)"Об аудиторской деятельности"</dc:title>
  <dc:subject/>
  <dc:creator/>
  <cp:keywords/>
</cp:coreProperties>
</file>