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0"/>
        <w:keepNext w:val="0"/>
        <w:keepLines w:val="0"/>
        <w:widowControl w:val="0"/>
        <w:shd w:val="clear" w:color="auto" w:fill="auto"/>
        <w:bidi w:val="0"/>
        <w:spacing w:before="0" w:after="0" w:line="240" w:lineRule="auto"/>
        <w:ind w:left="104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717550</wp:posOffset>
                </wp:positionH>
                <wp:positionV relativeFrom="paragraph">
                  <wp:posOffset>127000</wp:posOffset>
                </wp:positionV>
                <wp:extent cx="2584450" cy="2654935"/>
                <wp:wrapSquare wrapText="right"/>
                <wp:docPr id="1" name="Shape 1"/>
                <a:graphic xmlns:a="http://schemas.openxmlformats.org/drawingml/2006/main">
                  <a:graphicData uri="http://schemas.microsoft.com/office/word/2010/wordprocessingShape">
                    <wps:wsp>
                      <wps:cNvSpPr txBox="1"/>
                      <wps:spPr>
                        <a:xfrm>
                          <a:ext cx="2584450" cy="265493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пл. Святого Благоверного Князя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Михаила Тверского, д.5, г.Тверь, 170100</w:t>
                              <w:br/>
                              <w:t>тел. (4822) 32-08-32</w:t>
                            </w:r>
                          </w:p>
                          <w:p>
                            <w:pPr>
                              <w:pStyle w:val="Style2"/>
                              <w:keepNext w:val="0"/>
                              <w:keepLines w:val="0"/>
                              <w:widowControl w:val="0"/>
                              <w:shd w:val="clear" w:color="auto" w:fill="auto"/>
                              <w:bidi w:val="0"/>
                              <w:spacing w:before="0" w:after="40"/>
                              <w:ind w:left="0" w:right="0" w:firstLine="0"/>
                              <w:jc w:val="center"/>
                            </w:pPr>
                            <w:r>
                              <w:rPr>
                                <w:spacing w:val="0"/>
                                <w:w w:val="100"/>
                                <w:position w:val="0"/>
                                <w:shd w:val="clear" w:color="auto" w:fill="auto"/>
                                <w:lang w:val="ru-RU" w:eastAsia="ru-RU" w:bidi="ru-RU"/>
                              </w:rPr>
                              <w:t>е-тай: 1о69@Га5.{»оу.ги</w:t>
                            </w:r>
                          </w:p>
                          <w:p>
                            <w:pPr>
                              <w:pStyle w:val="Style7"/>
                              <w:keepNext w:val="0"/>
                              <w:keepLines w:val="0"/>
                              <w:widowControl w:val="0"/>
                              <w:shd w:val="clear" w:color="auto" w:fill="auto"/>
                              <w:tabs>
                                <w:tab w:pos="2003" w:val="left"/>
                              </w:tabs>
                              <w:bidi w:val="0"/>
                              <w:spacing w:before="0" w:line="240" w:lineRule="auto"/>
                              <w:ind w:left="0" w:right="0"/>
                              <w:jc w:val="left"/>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28.01.2025</w:t>
                            </w:r>
                            <w:r>
                              <w:fldChar w:fldCharType="end"/>
                            </w:r>
                            <w:r>
                              <w:rPr>
                                <w:color w:val="000000"/>
                                <w:spacing w:val="0"/>
                                <w:w w:val="100"/>
                                <w:position w:val="0"/>
                                <w:shd w:val="clear" w:color="auto" w:fill="auto"/>
                                <w:lang w:val="ru-RU" w:eastAsia="ru-RU" w:bidi="ru-RU"/>
                              </w:rPr>
                              <w:tab/>
                              <w:t>№ 704/25</w:t>
                            </w:r>
                          </w:p>
                          <w:p>
                            <w:pPr>
                              <w:pStyle w:val="Style5"/>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0"/>
                              <w:keepNext w:val="0"/>
                              <w:keepLines w:val="0"/>
                              <w:widowControl w:val="0"/>
                              <w:shd w:val="clear" w:color="auto" w:fill="auto"/>
                              <w:bidi w:val="0"/>
                              <w:spacing w:before="0" w:after="16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069/06/105-78/2025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5pt;margin-top:10.pt;width:203.5pt;height:209.0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пл. Святого Благоверного Князя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Михаила Тверского, д.5, г.Тверь, 170100</w:t>
                        <w:br/>
                        <w:t>тел. (4822) 32-08-32</w:t>
                      </w:r>
                    </w:p>
                    <w:p>
                      <w:pPr>
                        <w:pStyle w:val="Style2"/>
                        <w:keepNext w:val="0"/>
                        <w:keepLines w:val="0"/>
                        <w:widowControl w:val="0"/>
                        <w:shd w:val="clear" w:color="auto" w:fill="auto"/>
                        <w:bidi w:val="0"/>
                        <w:spacing w:before="0" w:after="40"/>
                        <w:ind w:left="0" w:right="0" w:firstLine="0"/>
                        <w:jc w:val="center"/>
                      </w:pPr>
                      <w:r>
                        <w:rPr>
                          <w:spacing w:val="0"/>
                          <w:w w:val="100"/>
                          <w:position w:val="0"/>
                          <w:shd w:val="clear" w:color="auto" w:fill="auto"/>
                          <w:lang w:val="ru-RU" w:eastAsia="ru-RU" w:bidi="ru-RU"/>
                        </w:rPr>
                        <w:t>е-тай: 1о69@Га5.{»оу.ги</w:t>
                      </w:r>
                    </w:p>
                    <w:p>
                      <w:pPr>
                        <w:pStyle w:val="Style7"/>
                        <w:keepNext w:val="0"/>
                        <w:keepLines w:val="0"/>
                        <w:widowControl w:val="0"/>
                        <w:shd w:val="clear" w:color="auto" w:fill="auto"/>
                        <w:tabs>
                          <w:tab w:pos="2003" w:val="left"/>
                        </w:tabs>
                        <w:bidi w:val="0"/>
                        <w:spacing w:before="0" w:line="240" w:lineRule="auto"/>
                        <w:ind w:left="0" w:right="0"/>
                        <w:jc w:val="left"/>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28.01.2025</w:t>
                      </w:r>
                      <w:r>
                        <w:fldChar w:fldCharType="end"/>
                      </w:r>
                      <w:r>
                        <w:rPr>
                          <w:color w:val="000000"/>
                          <w:spacing w:val="0"/>
                          <w:w w:val="100"/>
                          <w:position w:val="0"/>
                          <w:shd w:val="clear" w:color="auto" w:fill="auto"/>
                          <w:lang w:val="ru-RU" w:eastAsia="ru-RU" w:bidi="ru-RU"/>
                        </w:rPr>
                        <w:tab/>
                        <w:t>№ 704/25</w:t>
                      </w:r>
                    </w:p>
                    <w:p>
                      <w:pPr>
                        <w:pStyle w:val="Style5"/>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0"/>
                        <w:keepNext w:val="0"/>
                        <w:keepLines w:val="0"/>
                        <w:widowControl w:val="0"/>
                        <w:shd w:val="clear" w:color="auto" w:fill="auto"/>
                        <w:bidi w:val="0"/>
                        <w:spacing w:before="0" w:after="16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069/06/105-78/2025</w:t>
                      </w:r>
                    </w:p>
                  </w:txbxContent>
                </v:textbox>
                <w10:wrap type="square" side="right" anchorx="page"/>
              </v:shape>
            </w:pict>
          </mc:Fallback>
        </mc:AlternateContent>
      </w:r>
      <w:r>
        <w:rPr>
          <w:color w:val="000000"/>
          <w:spacing w:val="0"/>
          <w:w w:val="100"/>
          <w:position w:val="0"/>
          <w:shd w:val="clear" w:color="auto" w:fill="auto"/>
          <w:lang w:val="ru-RU" w:eastAsia="ru-RU" w:bidi="ru-RU"/>
        </w:rPr>
        <w:t>Заказчик:</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Общество с ограниченной</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ответственностью «Объединенные</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энергетические системы Тверской области»</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е-та1: ое8@ое8-1уег.ги</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до1иЪеуа.2акирИ@таП.ги</w:t>
      </w:r>
    </w:p>
    <w:p>
      <w:pPr>
        <w:pStyle w:val="Style10"/>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уна81:кеукк@гдк-1уег.ги</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Уполномоченный орган:</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Комитет государственного заказа Тверской области</w:t>
      </w:r>
    </w:p>
    <w:p>
      <w:pPr>
        <w:pStyle w:val="Style10"/>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е-та1: кот_до8хакаха@1^еггед.ги</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Заявитель:</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ООО «Пегас ЭКО»</w:t>
      </w:r>
    </w:p>
    <w:p>
      <w:pPr>
        <w:pStyle w:val="Style10"/>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е-та1: т!о@р-есо.ги, егкупт@дтаП.сот</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Оператор электронной площадки:</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АО «Сбербанк - АСТ»</w:t>
      </w:r>
    </w:p>
    <w:p>
      <w:pPr>
        <w:pStyle w:val="Style10"/>
        <w:keepNext w:val="0"/>
        <w:keepLines w:val="0"/>
        <w:widowControl w:val="0"/>
        <w:shd w:val="clear" w:color="auto" w:fill="auto"/>
        <w:bidi w:val="0"/>
        <w:spacing w:before="0" w:after="560" w:line="240" w:lineRule="auto"/>
        <w:ind w:left="5320" w:right="0" w:firstLine="0"/>
        <w:jc w:val="left"/>
      </w:pPr>
      <w:r>
        <w:rPr>
          <w:color w:val="000000"/>
          <w:spacing w:val="0"/>
          <w:w w:val="100"/>
          <w:position w:val="0"/>
          <w:shd w:val="clear" w:color="auto" w:fill="auto"/>
          <w:lang w:val="ru-RU" w:eastAsia="ru-RU" w:bidi="ru-RU"/>
        </w:rPr>
        <w:t>е-та1: ко@8ЪегЪапк-а81:.ги, т1о@8ЪегЪапк- а81.ги</w:t>
      </w:r>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Е Н И Е</w:t>
      </w:r>
    </w:p>
    <w:p>
      <w:pPr>
        <w:pStyle w:val="Style10"/>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по делу № 069/06/105-78/2025 о рассмотрении жалобы на нарушение</w:t>
        <w:br/>
        <w:t>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решения оглашена «23» января 2025 г.</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полном объеме решение изготовлено «28» января 2025 г.</w:t>
      </w:r>
    </w:p>
    <w:p>
      <w:pPr>
        <w:pStyle w:val="Style10"/>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г. Тверь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0" w:line="240" w:lineRule="auto"/>
        <w:ind w:left="720" w:right="0" w:firstLine="0"/>
        <w:jc w:val="both"/>
      </w:pPr>
      <w:r>
        <w:rPr>
          <w:color w:val="000000"/>
          <w:spacing w:val="0"/>
          <w:w w:val="100"/>
          <w:position w:val="0"/>
          <w:shd w:val="clear" w:color="auto" w:fill="auto"/>
          <w:lang w:val="ru-RU" w:eastAsia="ru-RU" w:bidi="ru-RU"/>
        </w:rPr>
        <w:t>Винницкая П.Д. - заместитель начальника отдела контроля закупок, члены Комиссии: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Федотова М.В. - специалист-эксперт отдела контроля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Дьяконов В.А. - специалист 1 разряда отдела контроля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Комитета государственного заказа Тверской области (далее - Уполномоченный орган): Заикиной Н.М. (по доверенности),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ООО «Объединенные энергетические системы Тверской области» (далее - Заказчик),</w:t>
      </w:r>
    </w:p>
    <w:p>
      <w:pPr>
        <w:widowControl w:val="0"/>
        <w:spacing w:line="1" w:lineRule="exact"/>
        <w:sectPr>
          <w:footerReference w:type="default" r:id="rId5"/>
          <w:footnotePr>
            <w:pos w:val="pageBottom"/>
            <w:numFmt w:val="decimal"/>
            <w:numRestart w:val="continuous"/>
          </w:footnotePr>
          <w:pgSz w:w="11900" w:h="16840"/>
          <w:pgMar w:top="1162" w:right="541" w:bottom="1312" w:left="1111" w:header="734" w:footer="3" w:gutter="0"/>
          <w:pgNumType w:start="1"/>
          <w:cols w:space="720"/>
          <w:noEndnote/>
          <w:rtlGutter w:val="0"/>
          <w:docGrid w:linePitch="360"/>
        </w:sectPr>
      </w:pPr>
      <w:r>
        <w:drawing>
          <wp:anchor distT="50800" distB="0" distL="0" distR="0" simplePos="0" relativeHeight="125829380" behindDoc="0" locked="0" layoutInCell="1" allowOverlap="1">
            <wp:simplePos x="0" y="0"/>
            <wp:positionH relativeFrom="page">
              <wp:posOffset>714375</wp:posOffset>
            </wp:positionH>
            <wp:positionV relativeFrom="paragraph">
              <wp:posOffset>50800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6"/>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«Пегас ЭКО» (далее - Заявитель),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посредством системы видеоконференц-связи жалобу Заявителя на действия Заказчика, при проведении открытого конкурса в электронной форме на право выполнения работ по подготовке проектной документации и выполнение инженерных изысканий, выполнение работ по строительству объекта: «Блочно-модульная газовая котельная по адресу: Тверская обл., г. Нелидово, ул.Больничная» (номер извещения в единой информационной системе в сфере закупок \у\у\у./акирк1.доу.ги (далее - ЕИС) - № 0136500001124007682) (далее - Закупка, Конкурс),</w:t>
      </w:r>
    </w:p>
    <w:p>
      <w:pPr>
        <w:pStyle w:val="Style10"/>
        <w:keepNext w:val="0"/>
        <w:keepLines w:val="0"/>
        <w:widowControl w:val="0"/>
        <w:shd w:val="clear" w:color="auto" w:fill="auto"/>
        <w:bidi w:val="0"/>
        <w:spacing w:before="0" w:after="560" w:line="240" w:lineRule="auto"/>
        <w:ind w:left="0" w:right="0" w:firstLine="720"/>
        <w:jc w:val="both"/>
      </w:pPr>
      <w:r>
        <w:rPr>
          <w:color w:val="000000"/>
          <w:spacing w:val="0"/>
          <w:w w:val="100"/>
          <w:position w:val="0"/>
          <w:shd w:val="clear" w:color="auto" w:fill="auto"/>
          <w:lang w:val="ru-RU" w:eastAsia="ru-RU" w:bidi="ru-RU"/>
        </w:rPr>
        <w:t>и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p>
    <w:p>
      <w:pPr>
        <w:pStyle w:val="Style10"/>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В Тверское УФАС России 17.01.2025 поступила жалоба Заявителя на действия (бездействия) Заказчика, Уполномоченного органа при проведении Конкурса.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w:t>
      </w:r>
    </w:p>
    <w:p>
      <w:pPr>
        <w:pStyle w:val="Style10"/>
        <w:keepNext w:val="0"/>
        <w:keepLines w:val="0"/>
        <w:widowControl w:val="0"/>
        <w:numPr>
          <w:ilvl w:val="0"/>
          <w:numId w:val="1"/>
        </w:numPr>
        <w:shd w:val="clear" w:color="auto" w:fill="auto"/>
        <w:tabs>
          <w:tab w:pos="15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Уполномоченным органом в извещении об осуществлении Конкурса неправомерно установлены дополнительные требования к выполнению работ, ограничивающие количество участников закупки;</w:t>
      </w:r>
    </w:p>
    <w:p>
      <w:pPr>
        <w:pStyle w:val="Style10"/>
        <w:keepNext w:val="0"/>
        <w:keepLines w:val="0"/>
        <w:widowControl w:val="0"/>
        <w:numPr>
          <w:ilvl w:val="0"/>
          <w:numId w:val="1"/>
        </w:numPr>
        <w:shd w:val="clear" w:color="auto" w:fill="auto"/>
        <w:tabs>
          <w:tab w:pos="15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Уполномоченным органом в извещении об осуществлении Конкурса неправомерно установлены противоречивые требования к участникам закупки о наличии у участников закупки членства саморегулируемой организации (далее - СРО);</w:t>
      </w:r>
    </w:p>
    <w:p>
      <w:pPr>
        <w:pStyle w:val="Style10"/>
        <w:keepNext w:val="0"/>
        <w:keepLines w:val="0"/>
        <w:widowControl w:val="0"/>
        <w:numPr>
          <w:ilvl w:val="0"/>
          <w:numId w:val="1"/>
        </w:numPr>
        <w:shd w:val="clear" w:color="auto" w:fill="auto"/>
        <w:tabs>
          <w:tab w:pos="1598"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Заказчиком, Уполномоченным органом ненадлежащим образом установлен порядок рассмотрения и оценки заявок на участие в Конкурсе.</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Заказчик, Уполномоченный орган представили возражения, с доводами жалобы не согласились.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w:t>
      </w:r>
      <w:r>
        <w:rPr>
          <w:color w:val="000000"/>
          <w:spacing w:val="0"/>
          <w:w w:val="100"/>
          <w:position w:val="0"/>
          <w:shd w:val="clear" w:color="auto" w:fill="auto"/>
          <w:lang w:val="ru-RU" w:eastAsia="ru-RU" w:bidi="ru-RU"/>
        </w:rPr>
        <w:t>товаров, работ, услуг дополнительные требования.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Дополнительные требования, а также перечень документов, подтверждающих соответствие участников закупки таким требованиям, установлены Постановлением № 2571.</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Позицией 7 приложения к Постановлению № 2571 установлено, что в случае проведения закупки на осуществление работ по строительству, реконструкции объекта капитального строительства, за исключением линейного объекта, необходимо наличие у участника закупки одного из следующих видов опыта выполнения работ:</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Извещением объектом закупки является выполнение работ по подготовке проектной документации и выполнение инженерных изысканий, выполнение работ по строительству объекта: «Блочно-модульная газовая котельная по адресу: Тверская обл., г. Нелидово, ул.Больничная».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в составе жалобы указывает, что блочно-модульная котельная является некапитальным строением и относится к движимому имуществу, поскольку не связана прочно с землей фундаментом, является мобильной и ее перемещение не приносит несоразмерный ущерб ее назначению, таким образом установление Заказчиком, Уполномоченным органом дополнительных требований в соответствии с позицией 7 приложения к Постановлению № 2571 как к работам по строительству, реконструкции объекта капитального строительства, за исключением линейного объекта нарушает положения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пояснениям Заказчика, в контракте идет речь именно о строительстве объекта в целом - комплексе работ, а не какой-то его части в отдельности в виде поставки блочномодульной котельной. Результатом работ является объект, поставленный на кадастровый учет, что не может быть отнесено к некапитальному объекту.</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Уполномоченным органом представлены следующие пояснения:</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«Правовой статус объекта капитального строительства, перечень этапов и мероприятий, проводимых при реализации проекта по строительству объекта капитального строительства, а также перечень документов, необходимых для реализации каждого из указанных этапов, оценка соответствия зданий и сооружений, основания и условия получения разрешения на строительство и разрешения на ввод объекта в эксплуатацию, основания проведения государственной экспертизы проектной документации и основания и пределы осуществления государственного строительного надзора, определяются законодательством о градостроительной деятельности, в частности Градостроительным кодексом Российской Федерации» (далее - Градостроительный кодекс РФ), Федеральным законом от 30.12.2009 № 384-ФЗ</w:t>
      </w:r>
    </w:p>
    <w:p>
      <w:pPr>
        <w:pStyle w:val="Style10"/>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«Технический регламент о безопасности зданий и сооружений» (далее - Федеральный закон № 384-ФЗ).</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Градостроительный кодекс РФ раскрывает признаки объекта капитального строительства, а также некапитальных строений, сооружений.</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соответствии с пунктом 10 статьи 1 Градостроительного кодекса РФ объект капитального строительства - здание, строение, сооружение, объекты, строительство которых не завершено, за исключением некапитальных строений, сооружений и неотделимых улучшений земельного участка (замощение, покрытие и другие).</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пункту 10.2 статьи 1 ГрК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Пунктом 3.1 ГОСТ 27751-2014 «Надежность строительных конструкций и оснований. Основные положения» предусмотрено, что для каждого сооружения необходимо установить его класс (КС-1, КС-2 или КС-3) в зависимости от его назначения, а также социальных, экологических и экономических последствий их повреждений и разрушений.</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пункту 3.2 ГОСТ 27751-2014 «Надежность строительных конструкций и оснований. Основные положения» класс сооружений устанавливается в задании на проектирование генпроектировщиком по согласованию с заказчиком в соответствии с классификацией, по приложению А.</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соответствии с приложением А ГОСТ 27751-2014 к классу сооружений КС-1 относятся теплицы, парники, мобильные здания (сборно-разборные и контейнерного типа), склады временного содержания, в которых не предусматривается постоянного пребывания людей, сооружения с ограниченными сроками службы и пребыванием в них людей, к классу сооружений КС-2 относятся здания и сооружения, не вошедшие в классы КС-1 и КС-3, к классу сооружений КС-3 относятся здания и сооружения особо опасных и технически сложных объектов.</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силу части 1 статьи 4 Федерального закона № 384-ФЗ для применения данного Федерального закона здания и сооружения идентифицируются в порядке, установленном указанной статьей, по следующим признакам: назначение, принадлежность к объектам транспортной инфраструктуры и к другим объектам, функционально-технологические особенности которых влияют на их безопасность, возможность опасных природных процессов и явлений и техногенных воздействий на территории, на которой будут осуществляться строительство, реконструкция и эксплуатация здания или сооружения, принадлежность к опасным производственным объектам, пожарная и взрывопожарная опасность, наличие помещений с постоянным пребыванием людей, уровень ответственности.</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части 7 статьи 4 Федерального закона № 384-ФЗ в результате идентификации здания или сооружения по признаку, предусмотренному пунктом 7 части 1 данной статьи, здание или сооружение должно быть отнесено к одному из следующих уровней ответственности: 1) повышенный; 2) нормальный; 3) пониженный.</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 xml:space="preserve">В соответствии с пунктом 1 части 11 статьи 4 Федерального закона № 384-ФЗ идентификационные признаки, предусмотренные частью 1 статьи 4, указываются </w:t>
      </w:r>
      <w:r>
        <w:rPr>
          <w:i/>
          <w:iCs/>
          <w:color w:val="000000"/>
          <w:spacing w:val="0"/>
          <w:w w:val="100"/>
          <w:position w:val="0"/>
          <w:shd w:val="clear" w:color="auto" w:fill="auto"/>
          <w:lang w:val="ru-RU" w:eastAsia="ru-RU" w:bidi="ru-RU"/>
        </w:rPr>
        <w:t>застройщиком (заказчиком) - в задании на выполнение инженерных изысканий для строительства здания или сооружения и в задании на проектирование.</w:t>
      </w:r>
    </w:p>
    <w:p>
      <w:pPr>
        <w:pStyle w:val="Style10"/>
        <w:keepNext w:val="0"/>
        <w:keepLines w:val="0"/>
        <w:widowControl w:val="0"/>
        <w:shd w:val="clear" w:color="auto" w:fill="auto"/>
        <w:bidi w:val="0"/>
        <w:spacing w:before="0" w:after="260" w:line="240" w:lineRule="auto"/>
        <w:ind w:left="0" w:right="0" w:firstLine="760"/>
        <w:jc w:val="both"/>
      </w:pPr>
      <w:r>
        <w:rPr>
          <w:i/>
          <w:iCs/>
          <w:color w:val="000000"/>
          <w:spacing w:val="0"/>
          <w:w w:val="100"/>
          <w:position w:val="0"/>
          <w:shd w:val="clear" w:color="auto" w:fill="auto"/>
          <w:lang w:val="ru-RU" w:eastAsia="ru-RU" w:bidi="ru-RU"/>
        </w:rPr>
        <w:t>Согласно пункту 1.10 Описания объекта закупки (технического задания) идентификационные сведения об объекте капитального строительства: назначение - блочно-модульная газовая котельная для теплоснабжения, количество этажей - 1 (при необходимости 2). Ориентировочные размеры здания: 14,0*12,0*3,4 м.</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Уровень ответственности здания котельной - нормальный. Класс сооружения котельной КС-2, коэффициент надёжности по ответственности - 1,0.</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Пунктом 1.1 проекта контракта установлено, что работы по контракту включают в себя:</w:t>
      </w:r>
    </w:p>
    <w:p>
      <w:pPr>
        <w:pStyle w:val="Style10"/>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инженерно-геодезические изыскания;</w:t>
      </w:r>
    </w:p>
    <w:p>
      <w:pPr>
        <w:pStyle w:val="Style10"/>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инженерно-геологические изыскания;</w:t>
      </w:r>
    </w:p>
    <w:p>
      <w:pPr>
        <w:pStyle w:val="Style10"/>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инженерно-экологические изыскания;</w:t>
      </w:r>
    </w:p>
    <w:p>
      <w:pPr>
        <w:pStyle w:val="Style10"/>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подготовку проектной и рабочей документации;</w:t>
      </w:r>
    </w:p>
    <w:p>
      <w:pPr>
        <w:pStyle w:val="Style10"/>
        <w:keepNext w:val="0"/>
        <w:keepLines w:val="0"/>
        <w:widowControl w:val="0"/>
        <w:numPr>
          <w:ilvl w:val="0"/>
          <w:numId w:val="3"/>
        </w:numPr>
        <w:shd w:val="clear" w:color="auto" w:fill="auto"/>
        <w:tabs>
          <w:tab w:pos="1006"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согласование проектной (рабочей) документации с владельцами сетей и земельных участков, попадающих в зону строительства;</w:t>
      </w:r>
    </w:p>
    <w:p>
      <w:pPr>
        <w:pStyle w:val="Style10"/>
        <w:keepNext w:val="0"/>
        <w:keepLines w:val="0"/>
        <w:widowControl w:val="0"/>
        <w:numPr>
          <w:ilvl w:val="0"/>
          <w:numId w:val="3"/>
        </w:numPr>
        <w:shd w:val="clear" w:color="auto" w:fill="auto"/>
        <w:tabs>
          <w:tab w:pos="1123"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прохождение государственной экспертизы проектной документации и результатов инженерных изысканий, включающей проверку достоверности определения сметной стоимости строительства;</w:t>
      </w:r>
    </w:p>
    <w:p>
      <w:pPr>
        <w:pStyle w:val="Style10"/>
        <w:keepNext w:val="0"/>
        <w:keepLines w:val="0"/>
        <w:widowControl w:val="0"/>
        <w:numPr>
          <w:ilvl w:val="0"/>
          <w:numId w:val="3"/>
        </w:numPr>
        <w:shd w:val="clear" w:color="auto" w:fill="auto"/>
        <w:tabs>
          <w:tab w:pos="1123"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строительство объекта, включая монтаж оборудования, устройство инженерных систем, выполнение пусконаладочных работ;</w:t>
      </w:r>
    </w:p>
    <w:p>
      <w:pPr>
        <w:pStyle w:val="Style10"/>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проведение тепловизионного контроля с представлением результатов заказчику;</w:t>
      </w:r>
    </w:p>
    <w:p>
      <w:pPr>
        <w:pStyle w:val="Style10"/>
        <w:keepNext w:val="0"/>
        <w:keepLines w:val="0"/>
        <w:widowControl w:val="0"/>
        <w:numPr>
          <w:ilvl w:val="0"/>
          <w:numId w:val="3"/>
        </w:numPr>
        <w:shd w:val="clear" w:color="auto" w:fill="auto"/>
        <w:tabs>
          <w:tab w:pos="978"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изготовление технических планов и иных документов, необходимых для постановки объекта и сетей инженерно-технического обеспечения на кадастровый учет.</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пункту 1.2 проекта контракта результатом выполнения строительно</w:t>
        <w:softHyphen/>
        <w:t>монтажных работ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проектной документации и заключение федерального государственного экологического надзора в случаях, предусмотренных частью 5 статьи 54 Градостроительного кодекса РФ.</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Пунктом 4.17 Описания объекта закупки (технического задания) предусмотрено, что в границы создаваемого объекта входит:</w:t>
      </w:r>
    </w:p>
    <w:p>
      <w:pPr>
        <w:pStyle w:val="Style10"/>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котельная с благоустройством в границах проектируемого участка;</w:t>
      </w:r>
    </w:p>
    <w:p>
      <w:pPr>
        <w:pStyle w:val="Style10"/>
        <w:keepNext w:val="0"/>
        <w:keepLines w:val="0"/>
        <w:widowControl w:val="0"/>
        <w:numPr>
          <w:ilvl w:val="0"/>
          <w:numId w:val="3"/>
        </w:numPr>
        <w:shd w:val="clear" w:color="auto" w:fill="auto"/>
        <w:tabs>
          <w:tab w:pos="98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здание котельной с ограждающими конструкциями, дымовыми трубами и газоходами;</w:t>
      </w:r>
    </w:p>
    <w:p>
      <w:pPr>
        <w:pStyle w:val="Style10"/>
        <w:keepNext w:val="0"/>
        <w:keepLines w:val="0"/>
        <w:widowControl w:val="0"/>
        <w:numPr>
          <w:ilvl w:val="0"/>
          <w:numId w:val="3"/>
        </w:numPr>
        <w:shd w:val="clear" w:color="auto" w:fill="auto"/>
        <w:tabs>
          <w:tab w:pos="963"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фундаменты под котельную, дымовые трубы, подвод всех наружный сетей (газоснабжение, водоснабжение, канализация, электроснабжение, тепловые сети).</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состав объекта должна входить как сама котельная в виде здания, так и фундаменты котельной, дымовые трубы, инженерные сети (газ, вода, канализация, электроснабжение, тепловые сети) и иные сооружения, необходимые для эксплуатации данного объекта. Для строительства данного объекта подрядчику необходимо осуществить инженерные изыскания и подготовить проектную документацию.</w:t>
      </w:r>
    </w:p>
    <w:p>
      <w:pPr>
        <w:pStyle w:val="Style10"/>
        <w:keepNext w:val="0"/>
        <w:keepLines w:val="0"/>
        <w:widowControl w:val="0"/>
        <w:shd w:val="clear" w:color="auto" w:fill="auto"/>
        <w:bidi w:val="0"/>
        <w:spacing w:before="0" w:after="140" w:line="240" w:lineRule="auto"/>
        <w:ind w:left="0" w:right="0" w:firstLine="760"/>
        <w:jc w:val="both"/>
      </w:pPr>
      <w:r>
        <w:rPr>
          <w:i/>
          <w:iCs/>
          <w:color w:val="000000"/>
          <w:spacing w:val="0"/>
          <w:w w:val="100"/>
          <w:position w:val="0"/>
          <w:shd w:val="clear" w:color="auto" w:fill="auto"/>
          <w:lang w:val="ru-RU" w:eastAsia="ru-RU" w:bidi="ru-RU"/>
        </w:rPr>
        <w:t>Таким образом, заказчику необходимо именно строительство объекта капитального строительства, а не поставка блочно-модульной котельной в готовом виде.</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соответствии с приказом Минстроя России от 02.11.2022 № 928/пр «Об утверждении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 здание котельной относится к объектам капитального строительства. При этом условиями закупки предусмотрено, что котельная должна быть в блочном-модульном исполнении».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Позиция Заказчика о том, что предметом контракта является строительство объекта в целом, соотносится с условиями контракта, а именно:</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пунктом 1.1. проекта контракта Заказчик поручает, а Подрядчик принимает на себя обязательство выполнить комплекс работ согласно условиям Контракта и Приложениями к нему (далее - Работы) на объекте: «Блочно-модульная газовая котельная по адресу: Тверская обл., г. Нелидово, ул.Больничная» (далее - Объект), оформить надлежащим образом исполнительную документацию в полном объеме и сдать Заказчику законченный строительством Объект, пригодный для использования, а Заказчик обязуется принять работы и оплатить их.</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Работы по Контракту включают в себя:</w:t>
      </w:r>
    </w:p>
    <w:p>
      <w:pPr>
        <w:pStyle w:val="Style10"/>
        <w:keepNext w:val="0"/>
        <w:keepLines w:val="0"/>
        <w:widowControl w:val="0"/>
        <w:numPr>
          <w:ilvl w:val="0"/>
          <w:numId w:val="3"/>
        </w:numPr>
        <w:shd w:val="clear" w:color="auto" w:fill="auto"/>
        <w:tabs>
          <w:tab w:pos="102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заключение договоров на технологическое присоединение к инженерным сетям;</w:t>
      </w:r>
    </w:p>
    <w:p>
      <w:pPr>
        <w:pStyle w:val="Style10"/>
        <w:keepNext w:val="0"/>
        <w:keepLines w:val="0"/>
        <w:widowControl w:val="0"/>
        <w:numPr>
          <w:ilvl w:val="0"/>
          <w:numId w:val="3"/>
        </w:numPr>
        <w:shd w:val="clear" w:color="auto" w:fill="auto"/>
        <w:tabs>
          <w:tab w:pos="102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инженерно-геодезические изыскания;</w:t>
      </w:r>
    </w:p>
    <w:p>
      <w:pPr>
        <w:pStyle w:val="Style10"/>
        <w:keepNext w:val="0"/>
        <w:keepLines w:val="0"/>
        <w:widowControl w:val="0"/>
        <w:numPr>
          <w:ilvl w:val="0"/>
          <w:numId w:val="3"/>
        </w:numPr>
        <w:shd w:val="clear" w:color="auto" w:fill="auto"/>
        <w:tabs>
          <w:tab w:pos="102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инженерно-геологические изыскания;</w:t>
      </w:r>
    </w:p>
    <w:p>
      <w:pPr>
        <w:pStyle w:val="Style10"/>
        <w:keepNext w:val="0"/>
        <w:keepLines w:val="0"/>
        <w:widowControl w:val="0"/>
        <w:numPr>
          <w:ilvl w:val="0"/>
          <w:numId w:val="3"/>
        </w:numPr>
        <w:shd w:val="clear" w:color="auto" w:fill="auto"/>
        <w:tabs>
          <w:tab w:pos="102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инженерно-экологические изыскания;</w:t>
      </w:r>
    </w:p>
    <w:p>
      <w:pPr>
        <w:pStyle w:val="Style10"/>
        <w:keepNext w:val="0"/>
        <w:keepLines w:val="0"/>
        <w:widowControl w:val="0"/>
        <w:numPr>
          <w:ilvl w:val="0"/>
          <w:numId w:val="3"/>
        </w:numPr>
        <w:shd w:val="clear" w:color="auto" w:fill="auto"/>
        <w:tabs>
          <w:tab w:pos="102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подготовку проектной и рабочей документации;</w:t>
      </w:r>
    </w:p>
    <w:p>
      <w:pPr>
        <w:pStyle w:val="Style10"/>
        <w:keepNext w:val="0"/>
        <w:keepLines w:val="0"/>
        <w:widowControl w:val="0"/>
        <w:numPr>
          <w:ilvl w:val="0"/>
          <w:numId w:val="3"/>
        </w:numPr>
        <w:shd w:val="clear" w:color="auto" w:fill="auto"/>
        <w:tabs>
          <w:tab w:pos="98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согласование проектной (рабочей) документации с владельцами сетей и земельных участков, попадающих в зону строительства;</w:t>
      </w:r>
    </w:p>
    <w:p>
      <w:pPr>
        <w:pStyle w:val="Style10"/>
        <w:keepNext w:val="0"/>
        <w:keepLines w:val="0"/>
        <w:widowControl w:val="0"/>
        <w:numPr>
          <w:ilvl w:val="0"/>
          <w:numId w:val="3"/>
        </w:numPr>
        <w:shd w:val="clear" w:color="auto" w:fill="auto"/>
        <w:tabs>
          <w:tab w:pos="97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прохождение государственной экспертизы проектной документации и результатов инженерных изысканий, включающей проверку достоверности определения сметной стоимости строительства;</w:t>
      </w:r>
    </w:p>
    <w:p>
      <w:pPr>
        <w:pStyle w:val="Style10"/>
        <w:keepNext w:val="0"/>
        <w:keepLines w:val="0"/>
        <w:widowControl w:val="0"/>
        <w:numPr>
          <w:ilvl w:val="0"/>
          <w:numId w:val="3"/>
        </w:numPr>
        <w:shd w:val="clear" w:color="auto" w:fill="auto"/>
        <w:tabs>
          <w:tab w:pos="973"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строительство объекта, включая монтаж оборудования, устройство инженерных систем, выполнение пусконаладочных работ;</w:t>
      </w:r>
    </w:p>
    <w:p>
      <w:pPr>
        <w:pStyle w:val="Style10"/>
        <w:keepNext w:val="0"/>
        <w:keepLines w:val="0"/>
        <w:widowControl w:val="0"/>
        <w:numPr>
          <w:ilvl w:val="0"/>
          <w:numId w:val="3"/>
        </w:numPr>
        <w:shd w:val="clear" w:color="auto" w:fill="auto"/>
        <w:tabs>
          <w:tab w:pos="102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проведение тепловизионного контроля с представлением результатов Заказчику;</w:t>
      </w:r>
    </w:p>
    <w:p>
      <w:pPr>
        <w:pStyle w:val="Style10"/>
        <w:keepNext w:val="0"/>
        <w:keepLines w:val="0"/>
        <w:widowControl w:val="0"/>
        <w:numPr>
          <w:ilvl w:val="0"/>
          <w:numId w:val="3"/>
        </w:numPr>
        <w:shd w:val="clear" w:color="auto" w:fill="auto"/>
        <w:tabs>
          <w:tab w:pos="97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изготовление технических планов и иных документов, необходимых для постановки Объекта и сетей инженерно-технического обеспечения на кадастровый учет;</w:t>
      </w:r>
    </w:p>
    <w:p>
      <w:pPr>
        <w:pStyle w:val="Style10"/>
        <w:keepNext w:val="0"/>
        <w:keepLines w:val="0"/>
        <w:widowControl w:val="0"/>
        <w:numPr>
          <w:ilvl w:val="0"/>
          <w:numId w:val="3"/>
        </w:numPr>
        <w:shd w:val="clear" w:color="auto" w:fill="auto"/>
        <w:tabs>
          <w:tab w:pos="102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охрану и содержание Объекта до его передачи Заказчику.</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пункту 1.2 проекта контракта результатом выполнения строительно</w:t>
        <w:softHyphen/>
        <w:t>монтажных работ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проектной документации и заключение федерального государственного экологического надзора в случаях, предусмотренных частью 5 статьи 54 Градостроительного кодекса Российской Федерации.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пункту 10.2 части 1 статьи 1 Градостроительного кодекса Российской Федерации (далее - ГрК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отмечает, что описанием объекта закупки предусмотрены следующие виды работ:</w:t>
      </w:r>
    </w:p>
    <w:p>
      <w:pPr>
        <w:pStyle w:val="Style10"/>
        <w:keepNext w:val="0"/>
        <w:keepLines w:val="0"/>
        <w:widowControl w:val="0"/>
        <w:numPr>
          <w:ilvl w:val="0"/>
          <w:numId w:val="5"/>
        </w:numPr>
        <w:shd w:val="clear" w:color="auto" w:fill="auto"/>
        <w:tabs>
          <w:tab w:pos="101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Поставка оборудования и материалов;</w:t>
      </w:r>
    </w:p>
    <w:p>
      <w:pPr>
        <w:pStyle w:val="Style10"/>
        <w:keepNext w:val="0"/>
        <w:keepLines w:val="0"/>
        <w:widowControl w:val="0"/>
        <w:numPr>
          <w:ilvl w:val="0"/>
          <w:numId w:val="5"/>
        </w:numPr>
        <w:shd w:val="clear" w:color="auto" w:fill="auto"/>
        <w:tabs>
          <w:tab w:pos="104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Строительно-монтажные работы;</w:t>
      </w:r>
    </w:p>
    <w:p>
      <w:pPr>
        <w:pStyle w:val="Style10"/>
        <w:keepNext w:val="0"/>
        <w:keepLines w:val="0"/>
        <w:widowControl w:val="0"/>
        <w:numPr>
          <w:ilvl w:val="0"/>
          <w:numId w:val="5"/>
        </w:numPr>
        <w:shd w:val="clear" w:color="auto" w:fill="auto"/>
        <w:tabs>
          <w:tab w:pos="10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Выполнение пуско-наладочных работ;</w:t>
      </w:r>
    </w:p>
    <w:p>
      <w:pPr>
        <w:pStyle w:val="Style10"/>
        <w:keepNext w:val="0"/>
        <w:keepLines w:val="0"/>
        <w:widowControl w:val="0"/>
        <w:numPr>
          <w:ilvl w:val="0"/>
          <w:numId w:val="5"/>
        </w:numPr>
        <w:shd w:val="clear" w:color="auto" w:fill="auto"/>
        <w:tabs>
          <w:tab w:pos="10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Выполнение режимно-наладочных работ;</w:t>
      </w:r>
    </w:p>
    <w:p>
      <w:pPr>
        <w:pStyle w:val="Style10"/>
        <w:keepNext w:val="0"/>
        <w:keepLines w:val="0"/>
        <w:widowControl w:val="0"/>
        <w:numPr>
          <w:ilvl w:val="0"/>
          <w:numId w:val="5"/>
        </w:numPr>
        <w:shd w:val="clear" w:color="auto" w:fill="auto"/>
        <w:tabs>
          <w:tab w:pos="10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Ввод объекта в эксплуатацию.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описанием объекта закупки предусмотрено, что наименование и состав проектной документации должны быть разработаны в соответствии с Положением о составе проектной документации и требованиях к их содержанию, утвержденным Постановлением Правительства РФ от 16.02.2008 №87, ГОСТ Р 21.101-2020 «Система проектной документации для строительства. Основные требования к проектной и рабочей документации», с учетом действующих строительных норм и правил, техническими условиями подключения к инженерным сетям и источникам снабжения.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Разрешение на ввод объекта в эксплуатацию</w:t>
      </w:r>
      <w:r>
        <w:rPr>
          <w:color w:val="000000"/>
          <w:spacing w:val="0"/>
          <w:w w:val="100"/>
          <w:position w:val="0"/>
          <w:shd w:val="clear" w:color="auto" w:fill="auto"/>
          <w:lang w:val="ru-RU" w:eastAsia="ru-RU" w:bidi="ru-RU"/>
        </w:rPr>
        <w:t xml:space="preserve"> представляет собой документ, который </w:t>
      </w:r>
      <w:r>
        <w:rPr>
          <w:color w:val="000000"/>
          <w:spacing w:val="0"/>
          <w:w w:val="100"/>
          <w:position w:val="0"/>
          <w:u w:val="single"/>
          <w:shd w:val="clear" w:color="auto" w:fill="auto"/>
          <w:lang w:val="ru-RU" w:eastAsia="ru-RU" w:bidi="ru-RU"/>
        </w:rPr>
        <w:t>удостоверяет выполнение строительства, реконструкции объекта капитального строительства</w:t>
      </w:r>
      <w:r>
        <w:rPr>
          <w:color w:val="000000"/>
          <w:spacing w:val="0"/>
          <w:w w:val="100"/>
          <w:position w:val="0"/>
          <w:shd w:val="clear" w:color="auto" w:fill="auto"/>
          <w:lang w:val="ru-RU" w:eastAsia="ru-RU" w:bidi="ru-RU"/>
        </w:rPr>
        <w:t xml:space="preserve">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 (часть 1 статьи 55 ГрК РФ).</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рамках данной закупки предусматривается не поставка и монтаж блочно-модульной котельной, а комплекс работ, включающий разработку проектной документации, получение положительного заключения Госэкспертизы, ввод объекта в эксплуатацию, что не предусматривается при монтаже некапитального строения.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указано, что фундаменты под котельную, дымовые трубы, подвод всех наружных сетей (газоснабжение, водоснабжение, канализация, электроснабжение, тепловые сети) осуществляются силами Подрядчика.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Заявителем не представлено доказательств, что в рассматриваемом случае блочно-модульная котельная является некапитальным строением и относится к движимому имуществу, поскольку не связана прочно с землей фундаментом, является мобильной и ее перемещение не приносит несоразмерный ущерб ее назначению.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Заявителем не доказано, что при закупке данных работ Заказчиком неправомерно установлены требования к разработке проектной документации, получению положительного заключения Госэкспертизы, вводу объекта в эксплуатацию.</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Таким образом, учитывая, что объектом закупки является объект капитального строительства, довод жалобы не находит своего подтверждения.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единые требования к участникам закупки, в том числе требование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55.8 ГК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ГК РФ.</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Закупки установлены требование к участникам закупки о членстве в саморегулируемой организации в области строительства, реконструкции, капитального ремонта объектов капитального строительства.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что объект закупки относится к объекту капитального строительства довод о неправомерном установлении требований к участникам закупки о членстве в саморегулируемой организации в области строительства, реконструкции, капитального ремонта объектов капитального строительства, не находит своего подтверждения.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Заявитель также указывает, что в соответствии со сведениями, размещенными в ЕИС во вкладке «документы» раздела «Извещение, изменение извещения о проведении открытого конкурса в электронной форме» размещен файл «Требование к содержанию </w:t>
      </w:r>
      <w:r>
        <w:rPr>
          <w:color w:val="000000"/>
          <w:spacing w:val="0"/>
          <w:w w:val="100"/>
          <w:position w:val="0"/>
          <w:shd w:val="clear" w:color="auto" w:fill="auto"/>
          <w:lang w:val="ru-RU" w:eastAsia="ru-RU" w:bidi="ru-RU"/>
        </w:rPr>
        <w:t>заявки» не содержащий требование к участникам закупки о наличии у участников закупки членства СРО, вместе с тем во вкладке «общая информация» раздела «преимущества, требования к участникам» требование к членству СРО установлено.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отмечает, что извещение об осуществлении закупки содержит требование о том, что в соответствии с пунктом 1 части 1 статьи 31 Закона о контрактной системе 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При этом прикреплённый файл «Требование к содержанию заявки» не содержит указание, что электронная форма извещения содержит какую-либо недостоверную информацию, а также не содержит информацию об установлении (не установлении) требований в соответствии с пунктом 1 части 1 статьи 31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силу подпункта «а» пункта 4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документы, сформированные без использования единой информационной системы, размещаются в единой информационной системе в форме электронного документа или образа бумажного документа, объем каждого из которых не должен превышать 50 мегабайт, при этом, если информация, содержащаяся в таких электронных документах и (или) образах, не соответствует информации, сформированной с использованием единой информационной системы, приоритет имеет информация, сформированная с использованием единой информационной системы.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утверждение Заявителя, что установление требований вводит потенциальных участников в заблуждение не находит своего подтверждения.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Заявителем доказательств, что установление требований подобным образом нарушило его права и интересы, не предоставил.</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Тверского УФАС России приходит к выводу о необоснованности данного довода.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 Согласно доводу жалобы Заявителя, выполнение работ связано с некапитальным строением и, как следствие, установление возможности предоставления опыта только по капитальному ремонту ведет к необоснованному ограничению количества участников закупки. Кроме того, в отношении детализирующего показателя оценки «общее количество исполненных участником закупки договоров» не установлено предельных значений в отношении цен каждого из предоставляемых контрактов, таким образом, например, представленный одним участником контракт на сумму 100 тысяч рублей, в соответствии с Порядком оценки, будет равен представленному другим участником контракту на сумму 200 млн рублей, аналогично, 10 представленных контрактов, каждый из которых на сумму 10 тысяч рублей, будут оценены выше, чем 5 контрактов, каждый из которых на сумму 1 млрд рублей, таким образом, по мнению ООО «Пегас Эко», Порядок оценки не позволяет объективно определить наилучшее предложение, что нарушает положения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w:t>
      </w:r>
      <w:r>
        <w:rPr>
          <w:color w:val="000000"/>
          <w:spacing w:val="0"/>
          <w:w w:val="100"/>
          <w:position w:val="0"/>
          <w:shd w:val="clear" w:color="auto" w:fill="auto"/>
          <w:lang w:val="ru-RU" w:eastAsia="ru-RU" w:bidi="ru-RU"/>
        </w:rPr>
        <w:t>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4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части 1 статьи 32 Закона о контрактной системе для оценки заявок участников закупки заказчик использует, в том числе,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подпункта «г» пункта 3 Положения для оценки заявок в соответствии с Положением применяется критерий «Квалификация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8 Положения в случае применения показателей оценки по критерию оценки, предусмотренному подпунктом «г» пункта 3 Положения:</w:t>
      </w:r>
    </w:p>
    <w:p>
      <w:pPr>
        <w:pStyle w:val="Style10"/>
        <w:keepNext w:val="0"/>
        <w:keepLines w:val="0"/>
        <w:widowControl w:val="0"/>
        <w:numPr>
          <w:ilvl w:val="0"/>
          <w:numId w:val="7"/>
        </w:numPr>
        <w:shd w:val="clear" w:color="auto" w:fill="auto"/>
        <w:tabs>
          <w:tab w:pos="105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применяются детализирующие показатели;</w:t>
      </w:r>
    </w:p>
    <w:p>
      <w:pPr>
        <w:pStyle w:val="Style10"/>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10"/>
        <w:keepNext w:val="0"/>
        <w:keepLines w:val="0"/>
        <w:widowControl w:val="0"/>
        <w:numPr>
          <w:ilvl w:val="0"/>
          <w:numId w:val="7"/>
        </w:numPr>
        <w:shd w:val="clear" w:color="auto" w:fill="auto"/>
        <w:tabs>
          <w:tab w:pos="10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Подпунктом «в» пункта 24 Положения установлено, что для оценки заявок по критерию оценки «Квалификация участников закупки» может применяться, если иное не предусмотрено Положением, показатель оценки «Наличие у участников закупки опыта поставки товара, выполнения работы, оказания услуги, связанного с предметом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пункта 28 Положения в случае применения показателя оценки, </w:t>
      </w:r>
      <w:r>
        <w:rPr>
          <w:color w:val="000000"/>
          <w:spacing w:val="0"/>
          <w:w w:val="100"/>
          <w:position w:val="0"/>
          <w:shd w:val="clear" w:color="auto" w:fill="auto"/>
          <w:lang w:val="ru-RU" w:eastAsia="ru-RU" w:bidi="ru-RU"/>
        </w:rPr>
        <w:t>предусмотренного подпунктом «в» пункта 24 Положения:</w:t>
      </w:r>
    </w:p>
    <w:p>
      <w:pPr>
        <w:pStyle w:val="Style10"/>
        <w:keepNext w:val="0"/>
        <w:keepLines w:val="0"/>
        <w:widowControl w:val="0"/>
        <w:numPr>
          <w:ilvl w:val="0"/>
          <w:numId w:val="9"/>
        </w:numPr>
        <w:shd w:val="clear" w:color="auto" w:fill="auto"/>
        <w:tabs>
          <w:tab w:pos="10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применяются один или несколько из следующих детализирующих показателей оценки: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10"/>
        <w:keepNext w:val="0"/>
        <w:keepLines w:val="0"/>
        <w:widowControl w:val="0"/>
        <w:numPr>
          <w:ilvl w:val="0"/>
          <w:numId w:val="9"/>
        </w:numPr>
        <w:shd w:val="clear" w:color="auto" w:fill="auto"/>
        <w:tabs>
          <w:tab w:pos="108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оценка заявок по детализирующим показателям, предусмотренным подпунктом «а» пункта 28 Положения, осуществляется в порядке, установленном пунктами 20 и 21 Положения, применение шкалы оценки не допускается;</w:t>
      </w:r>
    </w:p>
    <w:p>
      <w:pPr>
        <w:pStyle w:val="Style10"/>
        <w:keepNext w:val="0"/>
        <w:keepLines w:val="0"/>
        <w:widowControl w:val="0"/>
        <w:numPr>
          <w:ilvl w:val="0"/>
          <w:numId w:val="9"/>
        </w:numPr>
        <w:shd w:val="clear" w:color="auto" w:fill="auto"/>
        <w:tabs>
          <w:tab w:pos="17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документом, предусмотренным приложением № 1 к Положению: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0"/>
        <w:keepNext w:val="0"/>
        <w:keepLines w:val="0"/>
        <w:widowControl w:val="0"/>
        <w:numPr>
          <w:ilvl w:val="0"/>
          <w:numId w:val="9"/>
        </w:numPr>
        <w:shd w:val="clear" w:color="auto" w:fill="auto"/>
        <w:tabs>
          <w:tab w:pos="10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pPr>
        <w:pStyle w:val="Style10"/>
        <w:keepNext w:val="0"/>
        <w:keepLines w:val="0"/>
        <w:widowControl w:val="0"/>
        <w:numPr>
          <w:ilvl w:val="0"/>
          <w:numId w:val="9"/>
        </w:numPr>
        <w:shd w:val="clear" w:color="auto" w:fill="auto"/>
        <w:tabs>
          <w:tab w:pos="108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0"/>
        <w:keepNext w:val="0"/>
        <w:keepLines w:val="0"/>
        <w:widowControl w:val="0"/>
        <w:numPr>
          <w:ilvl w:val="0"/>
          <w:numId w:val="9"/>
        </w:numPr>
        <w:shd w:val="clear" w:color="auto" w:fill="auto"/>
        <w:tabs>
          <w:tab w:pos="107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0"/>
        <w:keepNext w:val="0"/>
        <w:keepLines w:val="0"/>
        <w:widowControl w:val="0"/>
        <w:numPr>
          <w:ilvl w:val="0"/>
          <w:numId w:val="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w:t>
        <w:softHyphen/>
        <w:t xml:space="preserve">телекоммуникационной сети «Интернет», вместо направления таких документов участник </w:t>
      </w:r>
      <w:r>
        <w:rPr>
          <w:color w:val="000000"/>
          <w:spacing w:val="0"/>
          <w:w w:val="100"/>
          <w:position w:val="0"/>
          <w:shd w:val="clear" w:color="auto" w:fill="auto"/>
          <w:lang w:val="ru-RU" w:eastAsia="ru-RU" w:bidi="ru-RU"/>
        </w:rPr>
        <w:t>закупки вправе направить номер реестровой записи из соответствующего реестра.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подпункту «б» пункта 20 Положения, в случае, если лучшим является наибольшее значение характеристики объекта закупки, то значение количества баллов по детализирующему показателю, присваиваемых заявке, рассчитывается по формуле:</w:t>
      </w:r>
    </w:p>
    <w:p>
      <w:pPr>
        <w:pStyle w:val="Style10"/>
        <w:keepNext w:val="0"/>
        <w:keepLines w:val="0"/>
        <w:widowControl w:val="0"/>
        <w:shd w:val="clear" w:color="auto" w:fill="auto"/>
        <w:bidi w:val="0"/>
        <w:spacing w:before="0" w:after="0" w:line="240" w:lineRule="auto"/>
        <w:ind w:left="720" w:right="0" w:firstLine="20"/>
        <w:jc w:val="both"/>
      </w:pPr>
      <w:r>
        <w:rPr>
          <w:color w:val="000000"/>
          <w:spacing w:val="0"/>
          <w:w w:val="100"/>
          <w:position w:val="0"/>
          <w:shd w:val="clear" w:color="auto" w:fill="auto"/>
          <w:lang w:val="ru-RU" w:eastAsia="ru-RU" w:bidi="ru-RU"/>
        </w:rPr>
        <w:t>БХ1 = (ХьХтт)*100/(Хтах-Хтт), где: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Хтах - максимальное значение содержащееся в заявках (частях заявок), подлежащих в соответствии с Законом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Х1 - значение, содержащееся в предложении участника закупки, заявка (часть заявки) которого подлежит в соответствии с Законом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Хтт - минимальное значение, содержащееся в заявках (частях заявок), подлежащих в соответствии с Законом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выполняемые работы по рассматриваемой закупке относятся к работам по строительству, реконструкции объекта капитального строительства, за исключением линейного объекта, в связи с чем в порядке рассмотрения и оценки заявок на участие в конкурсе по показателю оценки «наличие у участников закупки опыта поставки товара, выполнения работы, оказания услуги, связанного с предметом контракта» правомерно установлено положение о том, что к оценке принимается исключительно исполненный договор (договоры), предусматривающий выполнение работ по строительству, реконструкции объекта капитального строительства (за исключением линейного объекта).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Представитель Уполномоченного органа на заседании Комиссии пояснил, что установленный Порядок оценки позволяет выявить наилучшие условия исполнения контракта, формула установлена заказчиком в порядке оценки заявок для оценки заявок по детализирующим показателям в соответствии с подпунктом «б» пункта 2( Положения. Формулы оценки, предусмотренные пунктом 2( Положения, предусматривают оценку с учетом того, какое значение является для заказчика наилучшим (наибольшее, например, размер опыта). Заказчик самостоятельно выбирает формулу из числа предусмотренных пунктом 2( Положения.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определении Верховного Суда Российской Федерации от 11.(7.2(19 № 3(8-ЭС19- 11278 изложена следующая правовая позиция: «Нестоимостные критерии оценки не являются единственным и обязательным условием участия к конкурсе, не предрешает исход закупки, не создает преимущества конкретному лицу, а направлены, прежде всего, на выбор победителем конкурса лица, наиболее соответствующего потребностям заказчика».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Стремление Заказчика выявить наиболее профессионального и конкурентоспособного участника не может свидетельствовать об ограничении допуска к участию в закупке и не может рассматриваться как несоответствие целям правового регулирования контрактной системы в сфере закупок для государственных и муниципальных нужд. Кроме того, Заявителем в составе жалобы не приложены доказательства, указывающие на ограничение его прав или невозможность подать заявку на участие в конкурсе.</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Комиссия, изучив вышеуказанный порядок рассмотрения и оценки заявок на участие в Конкурсе, приходит к выводу, что установленный Заказчиком, Уполномоченным органом Порядок оценки не противоречит требованиям Положения и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22.(1.2(25 от Заявителя поступили дополнительные доводы жалобы.</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отмечает, что указанные дополнения поступили после окончания регламентированного срока подачи заявок на участие в настоящем электронном аукционе (то есть уже после окончания предусмотренного частью 4 статьи 105 Закона о контрактной системе срока для подачи жалобы на положения извещения о проведении электронных процедур), вместе с тем в рамках внеплановой проверки Комиссия считает возможным указать следующее.</w:t>
      </w:r>
    </w:p>
    <w:p>
      <w:pPr>
        <w:pStyle w:val="Style10"/>
        <w:keepNext w:val="0"/>
        <w:keepLines w:val="0"/>
        <w:widowControl w:val="0"/>
        <w:numPr>
          <w:ilvl w:val="1"/>
          <w:numId w:val="11"/>
        </w:numPr>
        <w:shd w:val="clear" w:color="auto" w:fill="auto"/>
        <w:tabs>
          <w:tab w:pos="11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оценка заявок по квалификационному критерию без указания предельного максимального количественного значения оцениваемого признака приводит к ограничению конкуренции при проведении конкурсной процедуры, поскольку лишает возможности участников закупки, не имеющих избыточного опыта, конкурировать по ценовым и иным неценовым критериям с участником, имеющим такой избыточный опыт.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как указано в пункте 3 мотивировочной части данного решения, приходит к выводу о соответствии порядка оценки по детализирующему показателю оценки требованиям Положения и Закона о контрактной системе.</w:t>
      </w:r>
    </w:p>
    <w:p>
      <w:pPr>
        <w:pStyle w:val="Style10"/>
        <w:keepNext w:val="0"/>
        <w:keepLines w:val="0"/>
        <w:widowControl w:val="0"/>
        <w:numPr>
          <w:ilvl w:val="1"/>
          <w:numId w:val="11"/>
        </w:numPr>
        <w:shd w:val="clear" w:color="auto" w:fill="auto"/>
        <w:tabs>
          <w:tab w:pos="11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в составе Извещения не обнаружены установленные виды и объемы работ, выполняемых подрядчиком самостоятельно в соответствии Постановлением Правительства Российской Федерации от 15.05.2017 № 570 (далее - Постановление № 570)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 570 установлены виды и объемы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Постановления № 570 установлено, что:</w:t>
      </w:r>
    </w:p>
    <w:p>
      <w:pPr>
        <w:pStyle w:val="Style10"/>
        <w:keepNext w:val="0"/>
        <w:keepLines w:val="0"/>
        <w:widowControl w:val="0"/>
        <w:numPr>
          <w:ilvl w:val="0"/>
          <w:numId w:val="13"/>
        </w:numPr>
        <w:shd w:val="clear" w:color="auto" w:fill="auto"/>
        <w:tabs>
          <w:tab w:pos="117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10"/>
        <w:keepNext w:val="0"/>
        <w:keepLines w:val="0"/>
        <w:widowControl w:val="0"/>
        <w:numPr>
          <w:ilvl w:val="0"/>
          <w:numId w:val="13"/>
        </w:numPr>
        <w:shd w:val="clear" w:color="auto" w:fill="auto"/>
        <w:tabs>
          <w:tab w:pos="11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25 процентов цены государственного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Предметом контракта по проводимой закупке является выполнение работ по подготовке проектной документации и выполнение инженерных изысканий, выполнение работ по строительству объекта.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заказчиком осуществляется закупка на основании части 56 статьи 112 Закона о контрактной системе, то есть предметом контракта одновременно являются работы по подготовке проектной документации и строительству.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2 части 60 статьи 112 Закона о контрактной системе установлено, что при исполнении контракта, указанного в части 56 статьи 112 Закона о контрактной системе, с </w:t>
      </w:r>
      <w:r>
        <w:rPr>
          <w:color w:val="000000"/>
          <w:spacing w:val="0"/>
          <w:w w:val="100"/>
          <w:position w:val="0"/>
          <w:shd w:val="clear" w:color="auto" w:fill="auto"/>
          <w:lang w:val="ru-RU" w:eastAsia="ru-RU" w:bidi="ru-RU"/>
        </w:rPr>
        <w:t>учетом особенностей, предусмотренных частями 61 - 63 статьи 112 Закона о контрактной системе к условиям такого контракта, предусматривающим выполнение работ по строительству, реконструкции объекта капитального строительства, применяются положения Закона о контрактной системе о контракте, предметом которого являются строительство, реконструкция, капитальный ремонт объектов капитального строительства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Уполномоченного органа пояснил, что в рамках проведения конкурса проектная документация будет разработана лишь на этапе исполнения контракта. Кроме того, исчерпывающий и объективный перечень возможных видов и объемов работ по строительству, которые могут быть востребованы при исполнении контракта на момент формирования извещения об осуществлении закупки, заказчику не известен.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пункты в 5.2.7 и 5.2.8 проекта контракта, размещенного в составе извещения, содержат условия о том. что подрядчик обязан течение 10 рабочих дней со дня получения проектной документации от заказчика со штампом «В производство работ», предоставить на утверждение заказчику сметный расчет стоимости конкретных видов и объемов строительномонтажных работ, определенных из числа видов и объемов работ, предусмотренных проектно-сметной документацией, в соответствии с Постановлением № 570. Стоимость указанных работ должна быть не менее 25 процентов цены контракта. Подрядчик обязуется выполнить самостоятельно без привлечения других лиц к исполнению своих обязательств по контракту виды и объемы строительно-монтажных работ, указанных в утвержденном заказчиком Приложении № 8 к контракту, являющимся его неотъемлемой частью, определенных из числа видов и объемов работ в соответствии с Постановлением № 570.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Комиссия приходит к выводу, что указанные действия Заказчика не противоречат требованиям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представитель Заявителя на заседании Комиссии не представил доказательств, свидетельствующих об обратном.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довод Заявителя не нашел своего подтверждения.</w:t>
      </w:r>
    </w:p>
    <w:p>
      <w:pPr>
        <w:pStyle w:val="Style10"/>
        <w:keepNext w:val="0"/>
        <w:keepLines w:val="0"/>
        <w:widowControl w:val="0"/>
        <w:numPr>
          <w:ilvl w:val="1"/>
          <w:numId w:val="11"/>
        </w:numPr>
        <w:shd w:val="clear" w:color="auto" w:fill="auto"/>
        <w:tabs>
          <w:tab w:pos="11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Заказчиком, Уполномоченным органом в структурированной форме ЕИС не установлены характеристики объекта закупки, указанные в пункте 1 части 1 статьи 33 Закона о контрактной системе, что нарушает положения пункта 7 правил использования КТРУ, утвержденных постановлением Правительства Российской Федерации от 08.02.2017 № 145 «Об утверждений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закупки является выполнение работ по подготовке проектной документации и выполнение инженерных изысканий, выполнение работ по строительству объекта.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указал Уполномоченный орган, согласно разъяснениям Министерства финансов Российской Федерации и Федерального казначейства участник закупки заполняет в структурированной заявке характеристики исключительно на товар. При закупках работ и услуг указывать характеристики в заявке не требуется. Факт подачи заявки является согласием на их выполнение и оказание. В функционале ЕИС для заказчика исключили инструкцию в структурированном виде при описании объекта закупки на выполнение работ, оказание услуг в рамках доработок ЕИС в 2023 году (письмо Минфина от 03.11.2023 </w:t>
      </w:r>
      <w:r>
        <w:rPr>
          <w:color w:val="000000"/>
          <w:spacing w:val="0"/>
          <w:w w:val="100"/>
          <w:position w:val="0"/>
          <w:shd w:val="clear" w:color="auto" w:fill="auto"/>
          <w:lang w:val="ru-RU" w:eastAsia="ru-RU" w:bidi="ru-RU"/>
        </w:rPr>
        <w:t>24-03-06/105479, письмо Федерального казначейства от 26.10.2023 № 14-00-04/31290).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учитывая, что в рамках Закупки не предусматривается поставка товара, довод Заявителя не нашел своего подтверждения.</w:t>
      </w:r>
    </w:p>
    <w:p>
      <w:pPr>
        <w:pStyle w:val="Style10"/>
        <w:keepNext w:val="0"/>
        <w:keepLines w:val="0"/>
        <w:widowControl w:val="0"/>
        <w:numPr>
          <w:ilvl w:val="1"/>
          <w:numId w:val="11"/>
        </w:numPr>
        <w:shd w:val="clear" w:color="auto" w:fill="auto"/>
        <w:tabs>
          <w:tab w:pos="11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значимость показателя оценки установлена по 100% в отношении каждого из двух показателей оценки по критерию «Квалификация участников закупки», тоже самое касается значимости критерия «Квалификация участников закупки», установлено по 40%, что может ввести в заблуждение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требованиями Закона о контрактной системе и Положения в извещении о проведении открытого конкурса в электронной форме для оценки заявок участников закупки заказчиком были установлены следующие критерии оценки и величины значимости этих критериев:</w:t>
      </w:r>
    </w:p>
    <w:p>
      <w:pPr>
        <w:pStyle w:val="Style10"/>
        <w:keepNext w:val="0"/>
        <w:keepLines w:val="0"/>
        <w:widowControl w:val="0"/>
        <w:numPr>
          <w:ilvl w:val="0"/>
          <w:numId w:val="15"/>
        </w:numPr>
        <w:shd w:val="clear" w:color="auto" w:fill="auto"/>
        <w:tabs>
          <w:tab w:pos="14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(значимость критерия - 60 %):</w:t>
      </w:r>
    </w:p>
    <w:p>
      <w:pPr>
        <w:pStyle w:val="Style10"/>
        <w:keepNext w:val="0"/>
        <w:keepLines w:val="0"/>
        <w:widowControl w:val="0"/>
        <w:numPr>
          <w:ilvl w:val="0"/>
          <w:numId w:val="15"/>
        </w:numPr>
        <w:shd w:val="clear" w:color="auto" w:fill="auto"/>
        <w:tabs>
          <w:tab w:pos="14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 (значимость критерия - 40 %). Показателем критерия «Квалификация участников закупки» установлен показатель «Наличие у участников закупки опыта поставки товара, выполнения работы, оказания услуги, связанного с предметом контракта». В качестве детализирующих показателей оценки установлены следующие показатели:</w:t>
      </w:r>
    </w:p>
    <w:p>
      <w:pPr>
        <w:pStyle w:val="Style10"/>
        <w:keepNext w:val="0"/>
        <w:keepLines w:val="0"/>
        <w:widowControl w:val="0"/>
        <w:numPr>
          <w:ilvl w:val="0"/>
          <w:numId w:val="17"/>
        </w:numPr>
        <w:shd w:val="clear" w:color="auto" w:fill="auto"/>
        <w:tabs>
          <w:tab w:pos="14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10"/>
        <w:keepNext w:val="0"/>
        <w:keepLines w:val="0"/>
        <w:widowControl w:val="0"/>
        <w:numPr>
          <w:ilvl w:val="0"/>
          <w:numId w:val="17"/>
        </w:numPr>
        <w:shd w:val="clear" w:color="auto" w:fill="auto"/>
        <w:tabs>
          <w:tab w:pos="14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Общее количество исполненных участником закупки договора.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Порядком рассмотрения и оценки заявок на участие в конкурсе установлена значимость детализирующих показателей, в частности указана значимость для каждого показателя оценки - 50 %. что в совокупности составляет 100 %.</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открытого конкурса в электронной форме также указана значимость критериев, соответствующая требованиям Положения (цена контракта - значимость 60 %; квалификация участников закупки - значимость 40 %).</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что в рамках критерия «Квалификация участников закупки» предусмотрено два детализирующих показателя, данный критерий в Порядке рассмотрения и оценки заявок на участие в конкурсе разделен на две строки, в которых указана одинаковая значимость - 40 %.</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проанализировав порядок оценки, приходит к выводу, что указание в подобном виде значимости критерия оценки, когда установлено несколько детализирующих показателей, не нарушает требования законодательства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4.5 Заявитель указывает, что данная закупка включает в себя, в том числе поставку котельной дополнительно с выполнением прочих работ, установленных техническим заданием. ОКПД 2: 25.30.12.113 - Оборудование котельное и включено в Перечень товаров, работ, услуг, в случае осуществления закупок, которых заказчик обязан проводить аукцион в электронной форме (электронный аукцион) утвержден Распоряжением Правительства Российской Федерации от 21.03.2016 № 471 -р. Согласно письму ФАС России от 13.03.2019 № ИА/19176/19 в случае если в предмете закупки содержатся услуги (товары, работы), включенные и не включенные в Перечень, заказчик осуществляет закупку путем проведения электронного аукциона, таким образом, по мнению Заявителя, закупка неправомерно проводится в виде открытого конкурса в электронной форме.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для данной закупки выбран код ОКПД2 - 41.20.40.900 «Работы строительные по возведению нежилых зданий и сооружений прочие, не включенные в другие группировки». Указанный код ОКПД2 установлен в извещении о проведении</w:t>
        <w:br w:type="page"/>
      </w:r>
      <w:r>
        <w:rPr>
          <w:color w:val="000000"/>
          <w:spacing w:val="0"/>
          <w:w w:val="100"/>
          <w:position w:val="0"/>
          <w:shd w:val="clear" w:color="auto" w:fill="auto"/>
          <w:lang w:val="ru-RU" w:eastAsia="ru-RU" w:bidi="ru-RU"/>
        </w:rPr>
        <w:t>открытого конкурса в электронной форме.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о том. что данная закупка включает, в том числе поставку котельной, не соответствует описанию объекта закупки, так как по условиям закупки подрядчик должен сначала выполнить проектные работы по строительству блочно</w:t>
        <w:softHyphen/>
        <w:t>модульной котельной, а затем только выполнить работы строительству (возведению) котельной блочного типа.</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Таким образом, учитывая, что в рамках Закупки не предусматривается поставка товара, довод Заявителя не нашел своего подтверждения.</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10"/>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Признать жалобу ООО «Пегас ЭКО» необоснованной.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widowControl w:val="0"/>
        <w:spacing w:line="1" w:lineRule="exact"/>
        <w:sectPr>
          <w:headerReference w:type="default" r:id="rId8"/>
          <w:footerReference w:type="default" r:id="rId9"/>
          <w:footnotePr>
            <w:pos w:val="pageBottom"/>
            <w:numFmt w:val="decimal"/>
            <w:numRestart w:val="continuous"/>
          </w:footnotePr>
          <w:pgSz w:w="11900" w:h="16840"/>
          <w:pgMar w:top="1662" w:right="528" w:bottom="1350" w:left="1086" w:header="0" w:footer="3" w:gutter="0"/>
          <w:cols w:space="720"/>
          <w:noEndnote/>
          <w:rtlGutter w:val="0"/>
          <w:docGrid w:linePitch="360"/>
        </w:sectPr>
      </w:pPr>
      <w:r>
        <mc:AlternateContent>
          <mc:Choice Requires="wps">
            <w:drawing>
              <wp:anchor distT="114300" distB="368935" distL="0" distR="0" simplePos="0" relativeHeight="125829381" behindDoc="0" locked="0" layoutInCell="1" allowOverlap="1">
                <wp:simplePos x="0" y="0"/>
                <wp:positionH relativeFrom="page">
                  <wp:posOffset>736600</wp:posOffset>
                </wp:positionH>
                <wp:positionV relativeFrom="paragraph">
                  <wp:posOffset>114300</wp:posOffset>
                </wp:positionV>
                <wp:extent cx="1700530" cy="228600"/>
                <wp:wrapTopAndBottom/>
                <wp:docPr id="11" name="Shape 11"/>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pt;margin-top:9.pt;width:133.90000000000001pt;height:18.pt;z-index:-125829372;mso-wrap-distance-left:0;mso-wrap-distance-top:9.pt;mso-wrap-distance-right:0;mso-wrap-distance-bottom:29.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75260" distB="0" distL="0" distR="1786255" simplePos="0" relativeHeight="125829383" behindDoc="0" locked="0" layoutInCell="1" allowOverlap="1">
            <wp:simplePos x="0" y="0"/>
            <wp:positionH relativeFrom="page">
              <wp:posOffset>2656840</wp:posOffset>
            </wp:positionH>
            <wp:positionV relativeFrom="paragraph">
              <wp:posOffset>175260</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3114040</wp:posOffset>
                </wp:positionH>
                <wp:positionV relativeFrom="paragraph">
                  <wp:posOffset>577850</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20000000000002pt;margin-top:45.5pt;width:101.05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3071495</wp:posOffset>
                </wp:positionH>
                <wp:positionV relativeFrom="paragraph">
                  <wp:posOffset>266700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1.84999999999999pt;margin-top:21.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46075" distB="137160" distL="0" distR="0" simplePos="0" relativeHeight="125829384" behindDoc="0" locked="0" layoutInCell="1" allowOverlap="1">
                <wp:simplePos x="0" y="0"/>
                <wp:positionH relativeFrom="page">
                  <wp:posOffset>6021705</wp:posOffset>
                </wp:positionH>
                <wp:positionV relativeFrom="paragraph">
                  <wp:posOffset>346075</wp:posOffset>
                </wp:positionV>
                <wp:extent cx="1164590" cy="228600"/>
                <wp:wrapTopAndBottom/>
                <wp:docPr id="19" name="Shape 19"/>
                <a:graphic xmlns:a="http://schemas.openxmlformats.org/drawingml/2006/main">
                  <a:graphicData uri="http://schemas.microsoft.com/office/word/2010/wordprocessingShape">
                    <wps:wsp>
                      <wps:cNvSpPr txBox="1"/>
                      <wps:spPr>
                        <a:xfrm>
                          <a:ext cx="1164590" cy="2286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П.Д. Винницкая</w:t>
                            </w:r>
                          </w:p>
                        </w:txbxContent>
                      </wps:txbx>
                      <wps:bodyPr wrap="none" lIns="0" tIns="0" rIns="0" bIns="0">
                        <a:noAutoFit/>
                      </wps:bodyPr>
                    </wps:wsp>
                  </a:graphicData>
                </a:graphic>
              </wp:anchor>
            </w:drawing>
          </mc:Choice>
          <mc:Fallback>
            <w:pict>
              <v:shape id="_x0000_s1045" type="#_x0000_t202" style="position:absolute;margin-left:474.15000000000003pt;margin-top:27.25pt;width:91.700000000000003pt;height:18.pt;z-index:-125829369;mso-wrap-distance-left:0;mso-wrap-distance-top:27.25pt;mso-wrap-distance-right:0;mso-wrap-distance-bottom:10.8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П.Д. Винницкая</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ВИННИЦКАЯ ПОЛИНА ДМИТРИЕВНА</w:t>
      </w:r>
    </w:p>
    <w:p>
      <w:pPr>
        <w:pStyle w:val="Style25"/>
        <w:keepNext w:val="0"/>
        <w:keepLines w:val="0"/>
        <w:widowControl w:val="0"/>
        <w:shd w:val="clear" w:color="auto" w:fill="auto"/>
        <w:bidi w:val="0"/>
        <w:spacing w:before="0" w:after="0" w:line="240" w:lineRule="auto"/>
        <w:ind w:right="0" w:firstLine="0"/>
        <w:jc w:val="left"/>
      </w:pPr>
      <w:r>
        <w:rPr>
          <w:color w:val="4E4E4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00В8Е9ВЕСАС26Е0Е41 ВЕС441010ЕВ2ВЕ9</w:t>
      </w:r>
      <w:r>
        <w:rPr>
          <w:color w:val="000000"/>
          <w:spacing w:val="0"/>
          <w:w w:val="100"/>
          <w:position w:val="0"/>
          <w:shd w:val="clear" w:color="auto" w:fill="auto"/>
          <w:lang w:val="ru-RU" w:eastAsia="ru-RU" w:bidi="ru-RU"/>
        </w:rPr>
        <w:t>/</w:t>
      </w:r>
    </w:p>
    <w:p>
      <w:pPr>
        <w:pStyle w:val="Style25"/>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Действителен с 16.10.2024 </w:t>
      </w:r>
      <w:r>
        <w:rPr>
          <w:color w:val="8A8A8A"/>
          <w:spacing w:val="0"/>
          <w:w w:val="100"/>
          <w:position w:val="0"/>
          <w:shd w:val="clear" w:color="auto" w:fill="auto"/>
          <w:lang w:val="ru-RU" w:eastAsia="ru-RU" w:bidi="ru-RU"/>
        </w:rPr>
        <w:t xml:space="preserve">по </w:t>
      </w:r>
      <w:r>
        <w:rPr>
          <w:color w:val="4E4E4E"/>
          <w:spacing w:val="0"/>
          <w:w w:val="100"/>
          <w:position w:val="0"/>
          <w:shd w:val="clear" w:color="auto" w:fill="auto"/>
          <w:lang w:val="ru-RU" w:eastAsia="ru-RU" w:bidi="ru-RU"/>
        </w:rPr>
        <w:t>09.01.2026</w:t>
      </w:r>
    </w:p>
    <w:p>
      <w:pPr>
        <w:widowControl w:val="0"/>
        <w:spacing w:line="1" w:lineRule="exact"/>
        <w:sectPr>
          <w:footnotePr>
            <w:pos w:val="pageBottom"/>
            <w:numFmt w:val="decimal"/>
            <w:numRestart w:val="continuous"/>
          </w:footnotePr>
          <w:type w:val="continuous"/>
          <w:pgSz w:w="11900" w:h="16840"/>
          <w:pgMar w:top="1666" w:right="541" w:bottom="1882" w:left="1106" w:header="0" w:footer="3" w:gutter="0"/>
          <w:cols w:space="720"/>
          <w:noEndnote/>
          <w:rtlGutter w:val="0"/>
          <w:docGrid w:linePitch="360"/>
        </w:sectPr>
      </w:pPr>
      <w:r>
        <mc:AlternateContent>
          <mc:Choice Requires="wps">
            <w:drawing>
              <wp:anchor distT="215900" distB="283210" distL="0" distR="0" simplePos="0" relativeHeight="125829386" behindDoc="0" locked="0" layoutInCell="1" allowOverlap="1">
                <wp:simplePos x="0" y="0"/>
                <wp:positionH relativeFrom="page">
                  <wp:posOffset>733425</wp:posOffset>
                </wp:positionH>
                <wp:positionV relativeFrom="paragraph">
                  <wp:posOffset>215900</wp:posOffset>
                </wp:positionV>
                <wp:extent cx="1246505" cy="234950"/>
                <wp:wrapTopAndBottom/>
                <wp:docPr id="21" name="Shape 21"/>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7" type="#_x0000_t202" style="position:absolute;margin-left:57.75pt;margin-top:17.pt;width:98.150000000000006pt;height:18.5pt;z-index:-125829367;mso-wrap-distance-left:0;mso-wrap-distance-top:17.pt;mso-wrap-distance-right:0;mso-wrap-distance-bottom:22.3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31140" distB="106680" distL="0" distR="1786255" simplePos="0" relativeHeight="125829388" behindDoc="0" locked="0" layoutInCell="1" allowOverlap="1">
            <wp:simplePos x="0" y="0"/>
            <wp:positionH relativeFrom="page">
              <wp:posOffset>2660015</wp:posOffset>
            </wp:positionH>
            <wp:positionV relativeFrom="paragraph">
              <wp:posOffset>231140</wp:posOffset>
            </wp:positionV>
            <wp:extent cx="347345" cy="39624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2"/>
                    <a:stretch/>
                  </pic:blipFill>
                  <pic:spPr>
                    <a:xfrm>
                      <a:ext cx="347345"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3071495</wp:posOffset>
                </wp:positionH>
                <wp:positionV relativeFrom="paragraph">
                  <wp:posOffset>322580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41.84999999999999pt;margin-top:25.400000000000002pt;width:135.59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636270" distB="0" distL="0" distR="0" simplePos="0" relativeHeight="125829389" behindDoc="0" locked="0" layoutInCell="1" allowOverlap="1">
                <wp:simplePos x="0" y="0"/>
                <wp:positionH relativeFrom="page">
                  <wp:posOffset>3114040</wp:posOffset>
                </wp:positionH>
                <wp:positionV relativeFrom="paragraph">
                  <wp:posOffset>636270</wp:posOffset>
                </wp:positionV>
                <wp:extent cx="1283335" cy="97790"/>
                <wp:wrapTopAndBottom/>
                <wp:docPr id="27" name="Shape 27"/>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53" type="#_x0000_t202" style="position:absolute;margin-left:245.20000000000002pt;margin-top:50.100000000000001pt;width:101.05pt;height:7.7000000000000002pt;z-index:-125829364;mso-wrap-distance-left:0;mso-wrap-distance-top:50.100000000000001pt;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478155" distB="20955" distL="0" distR="0" simplePos="0" relativeHeight="125829391" behindDoc="0" locked="0" layoutInCell="1" allowOverlap="1">
                <wp:simplePos x="0" y="0"/>
                <wp:positionH relativeFrom="page">
                  <wp:posOffset>6106795</wp:posOffset>
                </wp:positionH>
                <wp:positionV relativeFrom="paragraph">
                  <wp:posOffset>478155</wp:posOffset>
                </wp:positionV>
                <wp:extent cx="1082040" cy="234950"/>
                <wp:wrapTopAndBottom/>
                <wp:docPr id="29" name="Shape 29"/>
                <a:graphic xmlns:a="http://schemas.openxmlformats.org/drawingml/2006/main">
                  <a:graphicData uri="http://schemas.microsoft.com/office/word/2010/wordprocessingShape">
                    <wps:wsp>
                      <wps:cNvSpPr txBox="1"/>
                      <wps:spPr>
                        <a:xfrm>
                          <a:ext cx="108204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 Федотова</w:t>
                            </w:r>
                          </w:p>
                        </w:txbxContent>
                      </wps:txbx>
                      <wps:bodyPr wrap="none" lIns="0" tIns="0" rIns="0" bIns="0">
                        <a:noAutoFit/>
                      </wps:bodyPr>
                    </wps:wsp>
                  </a:graphicData>
                </a:graphic>
              </wp:anchor>
            </w:drawing>
          </mc:Choice>
          <mc:Fallback>
            <w:pict>
              <v:shape id="_x0000_s1055" type="#_x0000_t202" style="position:absolute;margin-left:480.85000000000002pt;margin-top:37.649999999999999pt;width:85.200000000000003pt;height:18.5pt;z-index:-125829362;mso-wrap-distance-left:0;mso-wrap-distance-top:37.649999999999999pt;mso-wrap-distance-right:0;mso-wrap-distance-bottom:1.65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 Федотова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ФЕДОТОВА МАРИЯ ВЛАДИМИРОВНА</w:t>
      </w:r>
    </w:p>
    <w:p>
      <w:pPr>
        <w:pStyle w:val="Style25"/>
        <w:keepNext w:val="0"/>
        <w:keepLines w:val="0"/>
        <w:widowControl w:val="0"/>
        <w:shd w:val="clear" w:color="auto" w:fill="auto"/>
        <w:bidi w:val="0"/>
        <w:spacing w:before="0" w:after="0" w:line="240" w:lineRule="auto"/>
        <w:ind w:right="0" w:firstLine="0"/>
        <w:jc w:val="left"/>
      </w:pPr>
      <w:r>
        <w:rPr>
          <w:color w:val="4E4E4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E4E4E"/>
          <w:spacing w:val="0"/>
          <w:w w:val="100"/>
          <w:position w:val="0"/>
          <w:shd w:val="clear" w:color="auto" w:fill="auto"/>
          <w:lang w:val="ru-RU" w:eastAsia="ru-RU" w:bidi="ru-RU"/>
        </w:rPr>
        <w:t>О0Е3382ЕВСВВ143092О17Е4ЕЕ4В85С0А72</w:t>
      </w:r>
    </w:p>
    <w:p>
      <w:pPr>
        <w:pStyle w:val="Style25"/>
        <w:keepNext w:val="0"/>
        <w:keepLines w:val="0"/>
        <w:widowControl w:val="0"/>
        <w:shd w:val="clear" w:color="auto" w:fill="auto"/>
        <w:bidi w:val="0"/>
        <w:spacing w:before="0" w:after="360" w:line="240" w:lineRule="auto"/>
        <w:ind w:right="0" w:firstLine="0"/>
        <w:jc w:val="left"/>
      </w:pPr>
      <w:r>
        <w:drawing>
          <wp:anchor distT="0" distB="0" distL="114300" distR="1900555" simplePos="0" relativeHeight="125829393" behindDoc="0" locked="0" layoutInCell="1" allowOverlap="1">
            <wp:simplePos x="0" y="0"/>
            <wp:positionH relativeFrom="page">
              <wp:posOffset>2656840</wp:posOffset>
            </wp:positionH>
            <wp:positionV relativeFrom="paragraph">
              <wp:posOffset>317500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3114040</wp:posOffset>
                </wp:positionH>
                <wp:positionV relativeFrom="paragraph">
                  <wp:posOffset>720090</wp:posOffset>
                </wp:positionV>
                <wp:extent cx="1280160" cy="100330"/>
                <wp:wrapNone/>
                <wp:docPr id="33" name="Shape 3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5.20000000000002pt;margin-top:56.700000000000003pt;width:100.8pt;height:7.9000000000000004pt;z-index:251657735;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3071495</wp:posOffset>
                </wp:positionH>
                <wp:positionV relativeFrom="paragraph">
                  <wp:posOffset>405765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1" type="#_x0000_t202" style="position:absolute;margin-left:241.84999999999999pt;margin-top:31.949999999999999pt;width:135.59999999999999pt;height:20.15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656565"/>
          <w:spacing w:val="0"/>
          <w:w w:val="100"/>
          <w:position w:val="0"/>
          <w:shd w:val="clear" w:color="auto" w:fill="auto"/>
          <w:lang w:val="ru-RU" w:eastAsia="ru-RU" w:bidi="ru-RU"/>
        </w:rPr>
        <w:t xml:space="preserve">Действителен </w:t>
      </w:r>
      <w:r>
        <w:rPr>
          <w:color w:val="4E4E4E"/>
          <w:spacing w:val="0"/>
          <w:w w:val="100"/>
          <w:position w:val="0"/>
          <w:shd w:val="clear" w:color="auto" w:fill="auto"/>
          <w:lang w:val="ru-RU" w:eastAsia="ru-RU" w:bidi="ru-RU"/>
        </w:rPr>
        <w:t xml:space="preserve">с 17.10.2024 </w:t>
      </w:r>
      <w:r>
        <w:rPr>
          <w:color w:val="8A8A8A"/>
          <w:spacing w:val="0"/>
          <w:w w:val="100"/>
          <w:position w:val="0"/>
          <w:shd w:val="clear" w:color="auto" w:fill="auto"/>
          <w:lang w:val="ru-RU" w:eastAsia="ru-RU" w:bidi="ru-RU"/>
        </w:rPr>
        <w:t xml:space="preserve">по </w:t>
      </w:r>
      <w:r>
        <w:rPr>
          <w:color w:val="4E4E4E"/>
          <w:spacing w:val="0"/>
          <w:w w:val="100"/>
          <w:position w:val="0"/>
          <w:shd w:val="clear" w:color="auto" w:fill="auto"/>
          <w:lang w:val="ru-RU" w:eastAsia="ru-RU" w:bidi="ru-RU"/>
        </w:rPr>
        <w:t>10.01.2026</w:t>
      </w:r>
    </w:p>
    <w:p>
      <w:pPr>
        <w:pStyle w:val="Style10"/>
        <w:keepNext w:val="0"/>
        <w:keepLines w:val="0"/>
        <w:widowControl w:val="0"/>
        <w:shd w:val="clear" w:color="auto" w:fill="auto"/>
        <w:bidi w:val="0"/>
        <w:spacing w:before="0" w:after="520" w:line="240" w:lineRule="auto"/>
        <w:ind w:left="0" w:right="0" w:firstLine="0"/>
        <w:jc w:val="right"/>
      </w:pPr>
      <w:r>
        <w:rPr>
          <w:color w:val="000000"/>
          <w:spacing w:val="0"/>
          <w:w w:val="100"/>
          <w:position w:val="0"/>
          <w:shd w:val="clear" w:color="auto" w:fill="auto"/>
          <w:lang w:val="ru-RU" w:eastAsia="ru-RU" w:bidi="ru-RU"/>
        </w:rPr>
        <w:t>В.А. Дьяконов</w:t>
      </w:r>
    </w:p>
    <w:p>
      <w:pPr>
        <w:pStyle w:val="Style25"/>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Дьяконов Владимир Александрович</w:t>
      </w:r>
    </w:p>
    <w:p>
      <w:pPr>
        <w:pStyle w:val="Style25"/>
        <w:keepNext w:val="0"/>
        <w:keepLines w:val="0"/>
        <w:widowControl w:val="0"/>
        <w:shd w:val="clear" w:color="auto" w:fill="auto"/>
        <w:bidi w:val="0"/>
        <w:spacing w:before="0" w:after="0" w:line="240" w:lineRule="auto"/>
        <w:ind w:right="0" w:firstLine="0"/>
        <w:jc w:val="left"/>
      </w:pPr>
      <w:r>
        <w:rPr>
          <w:color w:val="4E4E4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E4E4E"/>
          <w:spacing w:val="0"/>
          <w:w w:val="100"/>
          <w:position w:val="0"/>
          <w:shd w:val="clear" w:color="auto" w:fill="auto"/>
          <w:lang w:val="ru-RU" w:eastAsia="ru-RU" w:bidi="ru-RU"/>
        </w:rPr>
        <w:t>00А9Е101Е166А21АЮВ58С4СЭ712С1СС9</w:t>
      </w:r>
      <w:r>
        <w:rPr>
          <w:color w:val="4E4E4E"/>
          <w:spacing w:val="0"/>
          <w:w w:val="100"/>
          <w:position w:val="0"/>
          <w:shd w:val="clear" w:color="auto" w:fill="auto"/>
          <w:lang w:val="ru-RU" w:eastAsia="ru-RU" w:bidi="ru-RU"/>
        </w:rPr>
        <w:t>С</w:t>
      </w:r>
    </w:p>
    <w:p>
      <w:pPr>
        <w:pStyle w:val="Style25"/>
        <w:keepNext w:val="0"/>
        <w:keepLines w:val="0"/>
        <w:widowControl w:val="0"/>
        <w:shd w:val="clear" w:color="auto" w:fill="auto"/>
        <w:bidi w:val="0"/>
        <w:spacing w:before="0" w:after="164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4E4E4E"/>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05.09.2024 </w:t>
      </w:r>
      <w:r>
        <w:rPr>
          <w:color w:val="8A8A8A"/>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29.11.2025</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666" w:right="541"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2025-762</w:t>
                          </w:r>
                        </w:p>
                      </w:txbxContent>
                    </wps:txbx>
                    <wps:bodyPr wrap="none" lIns="0" tIns="0" rIns="0" bIns="0">
                      <a:spAutoFit/>
                    </wps:bodyPr>
                  </wps:wsp>
                </a:graphicData>
              </a:graphic>
            </wp:anchor>
          </w:drawing>
        </mc:Choice>
        <mc:Fallback>
          <w:pict>
            <v:shape id="_x0000_s1029"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10016490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2025-762</w:t>
                          </w:r>
                        </w:p>
                      </w:txbxContent>
                    </wps:txbx>
                    <wps:bodyPr wrap="none" lIns="0" tIns="0" rIns="0" bIns="0">
                      <a:spAutoFit/>
                    </wps:bodyPr>
                  </wps:wsp>
                </a:graphicData>
              </a:graphic>
            </wp:anchor>
          </w:drawing>
        </mc:Choice>
        <mc:Fallback>
          <w:pict>
            <v:shape id="_x0000_s1035" type="#_x0000_t202" style="position:absolute;margin-left:56.800000000000004pt;margin-top:788.70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3902075</wp:posOffset>
              </wp:positionH>
              <wp:positionV relativeFrom="page">
                <wp:posOffset>759460</wp:posOffset>
              </wp:positionV>
              <wp:extent cx="128270" cy="106680"/>
              <wp:wrapNone/>
              <wp:docPr id="7" name="Shape 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7.25pt;margin-top:59.800000000000004pt;width:10.1pt;height:8.4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4"/>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099"/>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6099"/>
      <w:sz w:val="19"/>
      <w:szCs w:val="19"/>
      <w:u w:val="none"/>
    </w:rPr>
  </w:style>
  <w:style w:type="character" w:customStyle="1" w:styleId="CharStyle8">
    <w:name w:val="Основной текст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1F1F1F"/>
      <w:sz w:val="11"/>
      <w:szCs w:val="11"/>
      <w:u w:val="none"/>
    </w:rPr>
  </w:style>
  <w:style w:type="character" w:customStyle="1" w:styleId="CharStyle24">
    <w:name w:val="Основной текст (5)_"/>
    <w:basedOn w:val="DefaultParagraphFont"/>
    <w:link w:val="Style23"/>
    <w:rPr>
      <w:rFonts w:ascii="Georgia" w:eastAsia="Georgia" w:hAnsi="Georgia" w:cs="Georgia"/>
      <w:b w:val="0"/>
      <w:bCs w:val="0"/>
      <w:i w:val="0"/>
      <w:iCs w:val="0"/>
      <w:smallCaps w:val="0"/>
      <w:strike w:val="0"/>
      <w:color w:val="E8E8E8"/>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sz w:val="12"/>
      <w:szCs w:val="12"/>
      <w:u w:val="none"/>
    </w:rPr>
  </w:style>
  <w:style w:type="paragraph" w:customStyle="1" w:styleId="Style2">
    <w:name w:val="Основной текст (3)"/>
    <w:basedOn w:val="Normal"/>
    <w:link w:val="CharStyle3"/>
    <w:pPr>
      <w:widowControl w:val="0"/>
      <w:shd w:val="clear" w:color="auto" w:fill="auto"/>
      <w:spacing w:after="20" w:line="276" w:lineRule="auto"/>
      <w:jc w:val="center"/>
    </w:pPr>
    <w:rPr>
      <w:rFonts w:ascii="Times New Roman" w:eastAsia="Times New Roman" w:hAnsi="Times New Roman" w:cs="Times New Roman"/>
      <w:b w:val="0"/>
      <w:bCs w:val="0"/>
      <w:i w:val="0"/>
      <w:iCs w:val="0"/>
      <w:smallCaps w:val="0"/>
      <w:strike w:val="0"/>
      <w:color w:val="466099"/>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66099"/>
      <w:sz w:val="19"/>
      <w:szCs w:val="19"/>
      <w:u w:val="none"/>
    </w:rPr>
  </w:style>
  <w:style w:type="paragraph" w:customStyle="1" w:styleId="Style7">
    <w:name w:val="Основной текст (6)"/>
    <w:basedOn w:val="Normal"/>
    <w:link w:val="CharStyle8"/>
    <w:pPr>
      <w:widowControl w:val="0"/>
      <w:shd w:val="clear" w:color="auto" w:fill="auto"/>
      <w:spacing w:after="320"/>
      <w:ind w:firstLine="160"/>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1F1F1F"/>
      <w:sz w:val="11"/>
      <w:szCs w:val="11"/>
      <w:u w:val="none"/>
    </w:rPr>
  </w:style>
  <w:style w:type="paragraph" w:customStyle="1" w:styleId="Style23">
    <w:name w:val="Основной текст (5)"/>
    <w:basedOn w:val="Normal"/>
    <w:link w:val="CharStyle24"/>
    <w:pPr>
      <w:widowControl w:val="0"/>
      <w:shd w:val="clear" w:color="auto" w:fill="auto"/>
    </w:pPr>
    <w:rPr>
      <w:rFonts w:ascii="Georgia" w:eastAsia="Georgia" w:hAnsi="Georgia" w:cs="Georgia"/>
      <w:b w:val="0"/>
      <w:bCs w:val="0"/>
      <w:i w:val="0"/>
      <w:iCs w:val="0"/>
      <w:smallCaps w:val="0"/>
      <w:strike w:val="0"/>
      <w:color w:val="E8E8E8"/>
      <w:sz w:val="12"/>
      <w:szCs w:val="12"/>
      <w:u w:val="none"/>
    </w:rPr>
  </w:style>
  <w:style w:type="paragraph" w:customStyle="1" w:styleId="Style25">
    <w:name w:val="Основной текст (2)"/>
    <w:basedOn w:val="Normal"/>
    <w:link w:val="CharStyle26"/>
    <w:pPr>
      <w:widowControl w:val="0"/>
      <w:shd w:val="clear" w:color="auto" w:fill="auto"/>
      <w:ind w:left="3100"/>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